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79" w:rsidRDefault="00921C79">
      <w:pPr>
        <w:widowControl w:val="0"/>
        <w:pBdr>
          <w:top w:val="nil"/>
          <w:left w:val="nil"/>
          <w:bottom w:val="nil"/>
          <w:right w:val="nil"/>
          <w:between w:val="nil"/>
        </w:pBdr>
        <w:jc w:val="right"/>
        <w:rPr>
          <w:rFonts w:ascii="Book Antiqua" w:eastAsia="Arial" w:hAnsi="Book Antiqua" w:cs="Arial"/>
          <w:b/>
          <w:color w:val="000000"/>
          <w:sz w:val="22"/>
          <w:szCs w:val="22"/>
        </w:rPr>
      </w:pPr>
    </w:p>
    <w:p w:rsidR="00011D5F" w:rsidRPr="00921C79" w:rsidRDefault="00967FDC">
      <w:pPr>
        <w:widowControl w:val="0"/>
        <w:pBdr>
          <w:top w:val="nil"/>
          <w:left w:val="nil"/>
          <w:bottom w:val="nil"/>
          <w:right w:val="nil"/>
          <w:between w:val="nil"/>
        </w:pBdr>
        <w:jc w:val="right"/>
        <w:rPr>
          <w:rFonts w:ascii="Book Antiqua" w:eastAsia="Arial" w:hAnsi="Book Antiqua" w:cs="Arial"/>
          <w:b/>
          <w:color w:val="000000"/>
          <w:sz w:val="22"/>
          <w:szCs w:val="22"/>
        </w:rPr>
      </w:pPr>
      <w:r w:rsidRPr="00921C79">
        <w:rPr>
          <w:rFonts w:ascii="Book Antiqua" w:eastAsia="Arial" w:hAnsi="Book Antiqua" w:cs="Arial"/>
          <w:b/>
          <w:color w:val="000000"/>
          <w:sz w:val="22"/>
          <w:szCs w:val="22"/>
        </w:rPr>
        <w:t xml:space="preserve">Bogotá, D.C. </w:t>
      </w:r>
      <w:r w:rsidRPr="00921C79">
        <w:rPr>
          <w:rFonts w:ascii="Book Antiqua" w:eastAsia="Arial" w:hAnsi="Book Antiqua" w:cs="Arial"/>
          <w:b/>
          <w:sz w:val="22"/>
          <w:szCs w:val="22"/>
        </w:rPr>
        <w:t xml:space="preserve"> abril de 2024 </w:t>
      </w:r>
      <w:r w:rsidRPr="00921C79">
        <w:rPr>
          <w:rFonts w:ascii="Book Antiqua" w:eastAsia="Arial" w:hAnsi="Book Antiqua" w:cs="Arial"/>
          <w:b/>
          <w:color w:val="000000"/>
          <w:sz w:val="22"/>
          <w:szCs w:val="22"/>
        </w:rPr>
        <w:t xml:space="preserve"> </w:t>
      </w:r>
    </w:p>
    <w:p w:rsidR="00921C79" w:rsidRDefault="00921C79">
      <w:pPr>
        <w:widowControl w:val="0"/>
        <w:pBdr>
          <w:top w:val="nil"/>
          <w:left w:val="nil"/>
          <w:bottom w:val="nil"/>
          <w:right w:val="nil"/>
          <w:between w:val="nil"/>
        </w:pBdr>
        <w:rPr>
          <w:rFonts w:ascii="Book Antiqua" w:eastAsia="Arial" w:hAnsi="Book Antiqua" w:cs="Arial"/>
          <w:color w:val="000000"/>
          <w:sz w:val="22"/>
          <w:szCs w:val="22"/>
        </w:rPr>
      </w:pPr>
    </w:p>
    <w:p w:rsidR="00011D5F" w:rsidRPr="00921C79" w:rsidRDefault="00967FDC">
      <w:pPr>
        <w:widowControl w:val="0"/>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 xml:space="preserve">Honorable </w:t>
      </w:r>
      <w:r w:rsidRPr="00921C79">
        <w:rPr>
          <w:rFonts w:ascii="Book Antiqua" w:eastAsia="Arial" w:hAnsi="Book Antiqua" w:cs="Arial"/>
          <w:sz w:val="22"/>
          <w:szCs w:val="22"/>
        </w:rPr>
        <w:t>Representante</w:t>
      </w:r>
    </w:p>
    <w:p w:rsidR="00011D5F" w:rsidRPr="00921C79" w:rsidRDefault="00967FDC">
      <w:pPr>
        <w:widowControl w:val="0"/>
        <w:pBdr>
          <w:top w:val="nil"/>
          <w:left w:val="nil"/>
          <w:bottom w:val="nil"/>
          <w:right w:val="nil"/>
          <w:between w:val="nil"/>
        </w:pBdr>
        <w:rPr>
          <w:rFonts w:ascii="Book Antiqua" w:eastAsia="Arial" w:hAnsi="Book Antiqua" w:cs="Arial"/>
          <w:b/>
          <w:color w:val="000000"/>
          <w:sz w:val="22"/>
          <w:szCs w:val="22"/>
        </w:rPr>
      </w:pPr>
      <w:r w:rsidRPr="00921C79">
        <w:rPr>
          <w:rFonts w:ascii="Book Antiqua" w:eastAsia="Arial" w:hAnsi="Book Antiqua" w:cs="Arial"/>
          <w:b/>
          <w:sz w:val="22"/>
          <w:szCs w:val="22"/>
        </w:rPr>
        <w:t>OSCAR HERNÁN SÁNCHEZ LEÓN</w:t>
      </w:r>
    </w:p>
    <w:p w:rsidR="00011D5F" w:rsidRPr="00921C79" w:rsidRDefault="00967FDC">
      <w:pPr>
        <w:widowControl w:val="0"/>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Presidente</w:t>
      </w:r>
    </w:p>
    <w:p w:rsidR="00011D5F" w:rsidRPr="00921C79" w:rsidRDefault="00967FDC">
      <w:pPr>
        <w:widowControl w:val="0"/>
        <w:pBdr>
          <w:top w:val="nil"/>
          <w:left w:val="nil"/>
          <w:bottom w:val="nil"/>
          <w:right w:val="nil"/>
          <w:between w:val="nil"/>
        </w:pBdr>
        <w:rPr>
          <w:rFonts w:ascii="Book Antiqua" w:eastAsia="Arial" w:hAnsi="Book Antiqua" w:cs="Arial"/>
          <w:sz w:val="22"/>
          <w:szCs w:val="22"/>
        </w:rPr>
      </w:pPr>
      <w:bookmarkStart w:id="0" w:name="_heading=h.30j0zll" w:colFirst="0" w:colLast="0"/>
      <w:bookmarkEnd w:id="0"/>
      <w:r w:rsidRPr="00921C79">
        <w:rPr>
          <w:rFonts w:ascii="Book Antiqua" w:eastAsia="Arial" w:hAnsi="Book Antiqua" w:cs="Arial"/>
          <w:sz w:val="22"/>
          <w:szCs w:val="22"/>
        </w:rPr>
        <w:t xml:space="preserve">Comisión Primera Constitucional Permanente </w:t>
      </w:r>
    </w:p>
    <w:p w:rsidR="00011D5F" w:rsidRPr="00921C79" w:rsidRDefault="00967FDC">
      <w:pPr>
        <w:widowControl w:val="0"/>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sz w:val="22"/>
          <w:szCs w:val="22"/>
        </w:rPr>
        <w:t>Cámara de Representantes</w:t>
      </w:r>
    </w:p>
    <w:p w:rsidR="00011D5F" w:rsidRPr="00921C79" w:rsidRDefault="00967FDC">
      <w:pPr>
        <w:widowControl w:val="0"/>
        <w:pBdr>
          <w:top w:val="nil"/>
          <w:left w:val="nil"/>
          <w:bottom w:val="nil"/>
          <w:right w:val="nil"/>
          <w:between w:val="nil"/>
        </w:pBdr>
        <w:rPr>
          <w:rFonts w:ascii="Book Antiqua" w:eastAsia="Arial" w:hAnsi="Book Antiqua" w:cs="Arial"/>
          <w:b/>
          <w:sz w:val="22"/>
          <w:szCs w:val="22"/>
        </w:rPr>
      </w:pPr>
      <w:r w:rsidRPr="00921C79">
        <w:rPr>
          <w:rFonts w:ascii="Book Antiqua" w:eastAsia="Arial" w:hAnsi="Book Antiqua" w:cs="Arial"/>
          <w:color w:val="000000"/>
          <w:sz w:val="22"/>
          <w:szCs w:val="22"/>
        </w:rPr>
        <w:t>Ciudad</w:t>
      </w:r>
    </w:p>
    <w:p w:rsidR="00011D5F" w:rsidRPr="00921C79" w:rsidRDefault="00967FDC">
      <w:pPr>
        <w:pBdr>
          <w:top w:val="nil"/>
          <w:left w:val="nil"/>
          <w:bottom w:val="nil"/>
          <w:right w:val="nil"/>
          <w:between w:val="nil"/>
        </w:pBdr>
        <w:shd w:val="clear" w:color="auto" w:fill="FFFFFF"/>
        <w:ind w:left="2160" w:right="474"/>
        <w:jc w:val="both"/>
        <w:rPr>
          <w:rFonts w:ascii="Book Antiqua" w:eastAsia="Arial" w:hAnsi="Book Antiqua" w:cs="Arial"/>
          <w:b/>
          <w:sz w:val="22"/>
          <w:szCs w:val="22"/>
        </w:rPr>
      </w:pPr>
      <w:r w:rsidRPr="00921C79">
        <w:rPr>
          <w:rFonts w:ascii="Book Antiqua" w:eastAsia="Arial" w:hAnsi="Book Antiqua" w:cs="Arial"/>
          <w:b/>
          <w:color w:val="000000"/>
          <w:sz w:val="22"/>
          <w:szCs w:val="22"/>
        </w:rPr>
        <w:t xml:space="preserve">REFERENCIA: Informe de Ponencia </w:t>
      </w:r>
      <w:r w:rsidRPr="00921C79">
        <w:rPr>
          <w:rFonts w:ascii="Book Antiqua" w:eastAsia="Arial" w:hAnsi="Book Antiqua" w:cs="Arial"/>
          <w:b/>
          <w:sz w:val="22"/>
          <w:szCs w:val="22"/>
        </w:rPr>
        <w:t>para Primer Debate del Proyecto de Acto Legislativo 394 de 2024 Cámara.</w:t>
      </w:r>
    </w:p>
    <w:p w:rsidR="00011D5F" w:rsidRPr="00921C79" w:rsidRDefault="00011D5F">
      <w:pPr>
        <w:pBdr>
          <w:top w:val="nil"/>
          <w:left w:val="nil"/>
          <w:bottom w:val="nil"/>
          <w:right w:val="nil"/>
          <w:between w:val="nil"/>
        </w:pBdr>
        <w:jc w:val="both"/>
        <w:rPr>
          <w:rFonts w:ascii="Book Antiqua" w:eastAsia="Arial" w:hAnsi="Book Antiqua" w:cs="Arial"/>
          <w:color w:val="000000"/>
          <w:sz w:val="22"/>
          <w:szCs w:val="22"/>
        </w:rPr>
      </w:pPr>
    </w:p>
    <w:p w:rsidR="00011D5F" w:rsidRPr="00921C79" w:rsidRDefault="00967FDC">
      <w:pPr>
        <w:pBdr>
          <w:top w:val="nil"/>
          <w:left w:val="nil"/>
          <w:bottom w:val="nil"/>
          <w:right w:val="nil"/>
          <w:between w:val="nil"/>
        </w:pBdr>
        <w:jc w:val="both"/>
        <w:rPr>
          <w:rFonts w:ascii="Book Antiqua" w:eastAsia="Arial" w:hAnsi="Book Antiqua" w:cs="Arial"/>
          <w:color w:val="000000"/>
          <w:sz w:val="22"/>
          <w:szCs w:val="22"/>
        </w:rPr>
      </w:pPr>
      <w:r w:rsidRPr="00921C79">
        <w:rPr>
          <w:rFonts w:ascii="Book Antiqua" w:eastAsia="Arial" w:hAnsi="Book Antiqua" w:cs="Arial"/>
          <w:color w:val="000000"/>
          <w:sz w:val="22"/>
          <w:szCs w:val="22"/>
        </w:rPr>
        <w:t xml:space="preserve">Honorables </w:t>
      </w:r>
      <w:r w:rsidRPr="00921C79">
        <w:rPr>
          <w:rFonts w:ascii="Book Antiqua" w:eastAsia="Arial" w:hAnsi="Book Antiqua" w:cs="Arial"/>
          <w:sz w:val="22"/>
          <w:szCs w:val="22"/>
        </w:rPr>
        <w:t>Representantes a la Cámara</w:t>
      </w:r>
      <w:r w:rsidRPr="00921C79">
        <w:rPr>
          <w:rFonts w:ascii="Book Antiqua" w:eastAsia="Arial" w:hAnsi="Book Antiqua" w:cs="Arial"/>
          <w:color w:val="000000"/>
          <w:sz w:val="22"/>
          <w:szCs w:val="22"/>
        </w:rPr>
        <w:t>:</w:t>
      </w:r>
    </w:p>
    <w:p w:rsidR="00011D5F" w:rsidRPr="00921C79" w:rsidRDefault="00967FDC">
      <w:pPr>
        <w:pBdr>
          <w:top w:val="nil"/>
          <w:left w:val="nil"/>
          <w:bottom w:val="nil"/>
          <w:right w:val="nil"/>
          <w:between w:val="nil"/>
        </w:pBdr>
        <w:jc w:val="both"/>
        <w:rPr>
          <w:rFonts w:ascii="Book Antiqua" w:eastAsia="Arial" w:hAnsi="Book Antiqua" w:cs="Arial"/>
          <w:color w:val="000000"/>
          <w:sz w:val="22"/>
          <w:szCs w:val="22"/>
        </w:rPr>
      </w:pPr>
      <w:r w:rsidRPr="00921C79">
        <w:rPr>
          <w:rFonts w:ascii="Book Antiqua" w:eastAsia="Arial" w:hAnsi="Book Antiqua" w:cs="Arial"/>
          <w:color w:val="000000"/>
          <w:sz w:val="22"/>
          <w:szCs w:val="22"/>
        </w:rPr>
        <w:t> </w:t>
      </w:r>
    </w:p>
    <w:p w:rsidR="00011D5F" w:rsidRPr="00921C79" w:rsidRDefault="00967FDC">
      <w:pPr>
        <w:pBdr>
          <w:top w:val="nil"/>
          <w:left w:val="nil"/>
          <w:bottom w:val="nil"/>
          <w:right w:val="nil"/>
          <w:between w:val="nil"/>
        </w:pBdr>
        <w:jc w:val="both"/>
        <w:rPr>
          <w:rFonts w:ascii="Book Antiqua" w:eastAsia="Arial" w:hAnsi="Book Antiqua" w:cs="Arial"/>
          <w:sz w:val="22"/>
          <w:szCs w:val="22"/>
        </w:rPr>
      </w:pPr>
      <w:r w:rsidRPr="00921C79">
        <w:rPr>
          <w:rFonts w:ascii="Book Antiqua" w:eastAsia="Arial" w:hAnsi="Book Antiqua" w:cs="Arial"/>
          <w:color w:val="000000"/>
          <w:sz w:val="22"/>
          <w:szCs w:val="22"/>
        </w:rPr>
        <w:t>En cumplimiento del encargo hecho por la Honorable Mesa Directiva de la Comisión Primera Constitucional de la C</w:t>
      </w:r>
      <w:r w:rsidRPr="00921C79">
        <w:rPr>
          <w:rFonts w:ascii="Book Antiqua" w:eastAsia="Arial" w:hAnsi="Book Antiqua" w:cs="Arial"/>
          <w:sz w:val="22"/>
          <w:szCs w:val="22"/>
        </w:rPr>
        <w:t>ámara de Representantes</w:t>
      </w:r>
      <w:r w:rsidRPr="00921C79">
        <w:rPr>
          <w:rFonts w:ascii="Book Antiqua" w:eastAsia="Arial" w:hAnsi="Book Antiqua" w:cs="Arial"/>
          <w:color w:val="000000"/>
          <w:sz w:val="22"/>
          <w:szCs w:val="22"/>
        </w:rPr>
        <w:t xml:space="preserve"> del Congreso de la República y de conformidad con lo establecido en el artículo 156 de la Ley 5ª de 1992, po</w:t>
      </w:r>
      <w:r w:rsidR="003F5603">
        <w:rPr>
          <w:rFonts w:ascii="Book Antiqua" w:eastAsia="Arial" w:hAnsi="Book Antiqua" w:cs="Arial"/>
          <w:color w:val="000000"/>
          <w:sz w:val="22"/>
          <w:szCs w:val="22"/>
        </w:rPr>
        <w:t>r medio del presente escrito me permito</w:t>
      </w:r>
      <w:r w:rsidRPr="00921C79">
        <w:rPr>
          <w:rFonts w:ascii="Book Antiqua" w:eastAsia="Arial" w:hAnsi="Book Antiqua" w:cs="Arial"/>
          <w:color w:val="000000"/>
          <w:sz w:val="22"/>
          <w:szCs w:val="22"/>
        </w:rPr>
        <w:t xml:space="preserve"> rendir Informe de </w:t>
      </w:r>
      <w:r w:rsidRPr="00921C79">
        <w:rPr>
          <w:rFonts w:ascii="Book Antiqua" w:eastAsia="Arial" w:hAnsi="Book Antiqua" w:cs="Arial"/>
          <w:b/>
          <w:color w:val="000000"/>
          <w:sz w:val="22"/>
          <w:szCs w:val="22"/>
        </w:rPr>
        <w:t>Ponencia Positiva</w:t>
      </w:r>
      <w:r w:rsidRPr="00921C79">
        <w:rPr>
          <w:rFonts w:ascii="Book Antiqua" w:eastAsia="Arial" w:hAnsi="Book Antiqua" w:cs="Arial"/>
          <w:color w:val="000000"/>
          <w:sz w:val="22"/>
          <w:szCs w:val="22"/>
        </w:rPr>
        <w:t xml:space="preserve"> para </w:t>
      </w:r>
      <w:r w:rsidRPr="00921C79">
        <w:rPr>
          <w:rFonts w:ascii="Book Antiqua" w:eastAsia="Arial" w:hAnsi="Book Antiqua" w:cs="Arial"/>
          <w:sz w:val="22"/>
          <w:szCs w:val="22"/>
        </w:rPr>
        <w:t xml:space="preserve">primer debate </w:t>
      </w:r>
      <w:r w:rsidRPr="00921C79">
        <w:rPr>
          <w:rFonts w:ascii="Book Antiqua" w:eastAsia="Arial" w:hAnsi="Book Antiqua" w:cs="Arial"/>
          <w:color w:val="000000"/>
          <w:sz w:val="22"/>
          <w:szCs w:val="22"/>
        </w:rPr>
        <w:t xml:space="preserve">en </w:t>
      </w:r>
      <w:r w:rsidR="00187966">
        <w:rPr>
          <w:rFonts w:ascii="Book Antiqua" w:eastAsia="Arial" w:hAnsi="Book Antiqua" w:cs="Arial"/>
          <w:color w:val="000000"/>
          <w:sz w:val="22"/>
          <w:szCs w:val="22"/>
        </w:rPr>
        <w:t xml:space="preserve">la Comisión Primera de la </w:t>
      </w:r>
      <w:r w:rsidRPr="00921C79">
        <w:rPr>
          <w:rFonts w:ascii="Book Antiqua" w:eastAsia="Arial" w:hAnsi="Book Antiqua" w:cs="Arial"/>
          <w:sz w:val="22"/>
          <w:szCs w:val="22"/>
        </w:rPr>
        <w:t xml:space="preserve">Cámara de Representantes </w:t>
      </w:r>
      <w:r w:rsidRPr="00921C79">
        <w:rPr>
          <w:rFonts w:ascii="Book Antiqua" w:eastAsia="Arial" w:hAnsi="Book Antiqua" w:cs="Arial"/>
          <w:color w:val="000000"/>
          <w:sz w:val="22"/>
          <w:szCs w:val="22"/>
        </w:rPr>
        <w:t xml:space="preserve">al Proyecto de </w:t>
      </w:r>
      <w:r w:rsidRPr="00921C79">
        <w:rPr>
          <w:rFonts w:ascii="Book Antiqua" w:eastAsia="Arial" w:hAnsi="Book Antiqua" w:cs="Arial"/>
          <w:sz w:val="22"/>
          <w:szCs w:val="22"/>
        </w:rPr>
        <w:t>Acto Legislativo No.</w:t>
      </w:r>
      <w:r w:rsidRPr="00921C79">
        <w:rPr>
          <w:rFonts w:ascii="Book Antiqua" w:eastAsia="Arial" w:hAnsi="Book Antiqua" w:cs="Arial"/>
          <w:color w:val="000000"/>
          <w:sz w:val="22"/>
          <w:szCs w:val="22"/>
        </w:rPr>
        <w:t xml:space="preserve"> </w:t>
      </w:r>
      <w:r w:rsidRPr="00921C79">
        <w:rPr>
          <w:rFonts w:ascii="Book Antiqua" w:eastAsia="Arial" w:hAnsi="Book Antiqua" w:cs="Arial"/>
          <w:sz w:val="22"/>
          <w:szCs w:val="22"/>
        </w:rPr>
        <w:t xml:space="preserve">394 </w:t>
      </w:r>
      <w:r w:rsidRPr="00921C79">
        <w:rPr>
          <w:rFonts w:ascii="Book Antiqua" w:eastAsia="Arial" w:hAnsi="Book Antiqua" w:cs="Arial"/>
          <w:color w:val="000000"/>
          <w:sz w:val="22"/>
          <w:szCs w:val="22"/>
        </w:rPr>
        <w:t xml:space="preserve">de </w:t>
      </w:r>
      <w:r w:rsidRPr="00921C79">
        <w:rPr>
          <w:rFonts w:ascii="Book Antiqua" w:eastAsia="Arial" w:hAnsi="Book Antiqua" w:cs="Arial"/>
          <w:sz w:val="22"/>
          <w:szCs w:val="22"/>
        </w:rPr>
        <w:t>2024 Cámara</w:t>
      </w:r>
      <w:r w:rsidRPr="00921C79">
        <w:rPr>
          <w:rFonts w:ascii="Book Antiqua" w:eastAsia="Arial" w:hAnsi="Book Antiqua" w:cs="Arial"/>
          <w:color w:val="000000"/>
          <w:sz w:val="22"/>
          <w:szCs w:val="22"/>
        </w:rPr>
        <w:t>, “</w:t>
      </w:r>
      <w:r w:rsidRPr="00921C79">
        <w:rPr>
          <w:rFonts w:ascii="Book Antiqua" w:eastAsia="Arial" w:hAnsi="Book Antiqua" w:cs="Arial"/>
          <w:b/>
          <w:sz w:val="22"/>
          <w:szCs w:val="22"/>
        </w:rPr>
        <w:t>Por medio del cual se modifica el artículo 107 de la Constitución Política de Colombia</w:t>
      </w:r>
      <w:r w:rsidRPr="00921C79">
        <w:rPr>
          <w:rFonts w:ascii="Book Antiqua" w:eastAsia="Arial" w:hAnsi="Book Antiqua" w:cs="Arial"/>
          <w:b/>
          <w:color w:val="000000"/>
          <w:sz w:val="22"/>
          <w:szCs w:val="22"/>
        </w:rPr>
        <w:t xml:space="preserve">”. </w:t>
      </w:r>
    </w:p>
    <w:p w:rsidR="00011D5F" w:rsidRDefault="00967FDC">
      <w:pPr>
        <w:jc w:val="both"/>
        <w:rPr>
          <w:rFonts w:ascii="Book Antiqua" w:eastAsia="Arial" w:hAnsi="Book Antiqua" w:cs="Arial"/>
          <w:sz w:val="22"/>
          <w:szCs w:val="22"/>
        </w:rPr>
      </w:pPr>
      <w:r w:rsidRPr="00921C79">
        <w:rPr>
          <w:rFonts w:ascii="Book Antiqua" w:eastAsia="Arial" w:hAnsi="Book Antiqua" w:cs="Arial"/>
          <w:sz w:val="22"/>
          <w:szCs w:val="22"/>
        </w:rPr>
        <w:tab/>
      </w:r>
    </w:p>
    <w:p w:rsidR="00187966" w:rsidRPr="00921C79" w:rsidRDefault="00187966">
      <w:pPr>
        <w:jc w:val="both"/>
        <w:rPr>
          <w:rFonts w:ascii="Book Antiqua" w:eastAsia="Arial" w:hAnsi="Book Antiqua" w:cs="Arial"/>
          <w:b/>
          <w:sz w:val="22"/>
          <w:szCs w:val="22"/>
        </w:rPr>
      </w:pPr>
    </w:p>
    <w:p w:rsidR="00011D5F" w:rsidRPr="00921C79" w:rsidRDefault="00967FDC">
      <w:pPr>
        <w:shd w:val="clear" w:color="auto" w:fill="FFFFFF"/>
        <w:spacing w:line="252" w:lineRule="auto"/>
        <w:jc w:val="both"/>
        <w:rPr>
          <w:rFonts w:ascii="Book Antiqua" w:eastAsia="Arial" w:hAnsi="Book Antiqua" w:cs="Arial"/>
          <w:sz w:val="22"/>
          <w:szCs w:val="22"/>
        </w:rPr>
      </w:pPr>
      <w:r w:rsidRPr="00921C79">
        <w:rPr>
          <w:rFonts w:ascii="Book Antiqua" w:eastAsia="Arial" w:hAnsi="Book Antiqua" w:cs="Arial"/>
          <w:sz w:val="22"/>
          <w:szCs w:val="22"/>
        </w:rPr>
        <w:t>Cordialmente,</w:t>
      </w: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Default="00011D5F">
      <w:pPr>
        <w:shd w:val="clear" w:color="auto" w:fill="FFFFFF"/>
        <w:spacing w:line="252" w:lineRule="auto"/>
        <w:jc w:val="both"/>
        <w:rPr>
          <w:rFonts w:ascii="Book Antiqua" w:eastAsia="Arial" w:hAnsi="Book Antiqua" w:cs="Arial"/>
          <w:sz w:val="22"/>
          <w:szCs w:val="22"/>
        </w:rPr>
      </w:pPr>
    </w:p>
    <w:p w:rsidR="00187966" w:rsidRPr="00921C79" w:rsidRDefault="00187966">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967FDC">
      <w:pPr>
        <w:jc w:val="both"/>
        <w:rPr>
          <w:rFonts w:ascii="Book Antiqua" w:eastAsia="Arial" w:hAnsi="Book Antiqua" w:cs="Arial"/>
          <w:b/>
          <w:sz w:val="22"/>
          <w:szCs w:val="22"/>
        </w:rPr>
      </w:pPr>
      <w:r w:rsidRPr="00921C79">
        <w:rPr>
          <w:rFonts w:ascii="Book Antiqua" w:eastAsia="Arial" w:hAnsi="Book Antiqua" w:cs="Arial"/>
          <w:b/>
          <w:sz w:val="22"/>
          <w:szCs w:val="22"/>
        </w:rPr>
        <w:t>ALVARO LEONEL RUEDA CABALLERO</w:t>
      </w: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Representante a la Cámara</w:t>
      </w:r>
    </w:p>
    <w:p w:rsidR="00011D5F" w:rsidRPr="00921C79" w:rsidRDefault="00967FDC">
      <w:pPr>
        <w:shd w:val="clear" w:color="auto" w:fill="FFFFFF"/>
        <w:spacing w:line="252" w:lineRule="auto"/>
        <w:jc w:val="both"/>
        <w:rPr>
          <w:rFonts w:ascii="Book Antiqua" w:eastAsia="Arial" w:hAnsi="Book Antiqua" w:cs="Arial"/>
          <w:sz w:val="22"/>
          <w:szCs w:val="22"/>
        </w:rPr>
      </w:pPr>
      <w:r w:rsidRPr="00921C79">
        <w:rPr>
          <w:rFonts w:ascii="Book Antiqua" w:eastAsia="Arial" w:hAnsi="Book Antiqua" w:cs="Arial"/>
          <w:sz w:val="22"/>
          <w:szCs w:val="22"/>
        </w:rPr>
        <w:t>Ponente</w:t>
      </w: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011D5F">
      <w:pPr>
        <w:shd w:val="clear" w:color="auto" w:fill="FFFFFF"/>
        <w:spacing w:line="252" w:lineRule="auto"/>
        <w:jc w:val="both"/>
        <w:rPr>
          <w:rFonts w:ascii="Book Antiqua" w:eastAsia="Arial" w:hAnsi="Book Antiqua" w:cs="Arial"/>
          <w:sz w:val="22"/>
          <w:szCs w:val="22"/>
        </w:rPr>
      </w:pPr>
      <w:bookmarkStart w:id="1" w:name="_GoBack"/>
      <w:bookmarkEnd w:id="1"/>
    </w:p>
    <w:p w:rsidR="00011D5F" w:rsidRPr="00921C79" w:rsidRDefault="00011D5F">
      <w:pPr>
        <w:shd w:val="clear" w:color="auto" w:fill="FFFFFF"/>
        <w:spacing w:line="252" w:lineRule="auto"/>
        <w:jc w:val="both"/>
        <w:rPr>
          <w:rFonts w:ascii="Book Antiqua" w:eastAsia="Arial" w:hAnsi="Book Antiqua" w:cs="Arial"/>
          <w:sz w:val="22"/>
          <w:szCs w:val="22"/>
        </w:rPr>
      </w:pPr>
    </w:p>
    <w:p w:rsidR="00011D5F" w:rsidRPr="00921C79" w:rsidRDefault="00967FDC">
      <w:pPr>
        <w:jc w:val="center"/>
        <w:rPr>
          <w:rFonts w:ascii="Book Antiqua" w:eastAsia="Arial" w:hAnsi="Book Antiqua" w:cs="Arial"/>
          <w:b/>
          <w:color w:val="000000"/>
          <w:sz w:val="22"/>
          <w:szCs w:val="22"/>
        </w:rPr>
      </w:pPr>
      <w:r w:rsidRPr="00921C79">
        <w:rPr>
          <w:rFonts w:ascii="Book Antiqua" w:eastAsia="Arial" w:hAnsi="Book Antiqua" w:cs="Arial"/>
          <w:b/>
          <w:sz w:val="22"/>
          <w:szCs w:val="22"/>
        </w:rPr>
        <w:lastRenderedPageBreak/>
        <w:t xml:space="preserve">INFORME DE PONENCIA PARA PRIMER DEBATE EN LA COMISIÓN PRIMERA CONSTITUCIONAL DE LA CÁMARA DE REPRESENTANTES DEL PROYECTO DE ACTO LEGISLATIVO N° 394 DE 2024 CÁMARA “POR MEDIO DEL CUAL SE MODIFICA EL ARTÍCULO 107 DE LA CONSTITUCIÓN POLÍTICA DE COLOMBIA”. </w:t>
      </w:r>
    </w:p>
    <w:p w:rsidR="00011D5F" w:rsidRPr="00921C79" w:rsidRDefault="00011D5F">
      <w:pPr>
        <w:rPr>
          <w:rFonts w:ascii="Book Antiqua" w:eastAsia="Arial" w:hAnsi="Book Antiqua" w:cs="Arial"/>
          <w:b/>
          <w:color w:val="000000"/>
          <w:sz w:val="22"/>
          <w:szCs w:val="22"/>
        </w:rPr>
      </w:pPr>
    </w:p>
    <w:p w:rsidR="00011D5F" w:rsidRPr="00921C79" w:rsidRDefault="00967FDC">
      <w:pPr>
        <w:keepNext/>
        <w:keepLines/>
        <w:pBdr>
          <w:top w:val="nil"/>
          <w:left w:val="nil"/>
          <w:bottom w:val="nil"/>
          <w:right w:val="nil"/>
          <w:between w:val="nil"/>
        </w:pBdr>
        <w:spacing w:before="240" w:line="259" w:lineRule="auto"/>
        <w:jc w:val="center"/>
        <w:rPr>
          <w:rFonts w:ascii="Book Antiqua" w:eastAsia="Arial" w:hAnsi="Book Antiqua" w:cs="Arial"/>
          <w:b/>
          <w:color w:val="000000"/>
          <w:sz w:val="22"/>
          <w:szCs w:val="22"/>
        </w:rPr>
      </w:pPr>
      <w:r w:rsidRPr="00921C79">
        <w:rPr>
          <w:rFonts w:ascii="Book Antiqua" w:eastAsia="Arial" w:hAnsi="Book Antiqua" w:cs="Arial"/>
          <w:b/>
          <w:color w:val="000000"/>
          <w:sz w:val="22"/>
          <w:szCs w:val="22"/>
        </w:rPr>
        <w:t>CONTENIDO</w:t>
      </w:r>
    </w:p>
    <w:p w:rsidR="00011D5F" w:rsidRPr="00921C79" w:rsidRDefault="00011D5F">
      <w:pPr>
        <w:jc w:val="center"/>
        <w:rPr>
          <w:rFonts w:ascii="Book Antiqua" w:eastAsia="Arial" w:hAnsi="Book Antiqua" w:cs="Arial"/>
          <w:sz w:val="22"/>
          <w:szCs w:val="22"/>
        </w:rPr>
      </w:pP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Trámite de la iniciativa</w:t>
      </w:r>
      <w:r w:rsidRPr="00921C79">
        <w:rPr>
          <w:rFonts w:ascii="Book Antiqua" w:eastAsia="Arial" w:hAnsi="Book Antiqua" w:cs="Arial"/>
          <w:sz w:val="22"/>
          <w:szCs w:val="22"/>
        </w:rPr>
        <w:t>.</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 xml:space="preserve">Objeto del proyecto de </w:t>
      </w:r>
      <w:r w:rsidRPr="00921C79">
        <w:rPr>
          <w:rFonts w:ascii="Book Antiqua" w:eastAsia="Arial" w:hAnsi="Book Antiqua" w:cs="Arial"/>
          <w:sz w:val="22"/>
          <w:szCs w:val="22"/>
        </w:rPr>
        <w:t>acto legislativo.</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 xml:space="preserve">Contenido del </w:t>
      </w:r>
      <w:r w:rsidRPr="00921C79">
        <w:rPr>
          <w:rFonts w:ascii="Book Antiqua" w:eastAsia="Arial" w:hAnsi="Book Antiqua" w:cs="Arial"/>
          <w:sz w:val="22"/>
          <w:szCs w:val="22"/>
        </w:rPr>
        <w:t>proyecto de acto legislativo.</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 xml:space="preserve">Justificación del </w:t>
      </w:r>
      <w:r w:rsidRPr="00921C79">
        <w:rPr>
          <w:rFonts w:ascii="Book Antiqua" w:eastAsia="Arial" w:hAnsi="Book Antiqua" w:cs="Arial"/>
          <w:sz w:val="22"/>
          <w:szCs w:val="22"/>
        </w:rPr>
        <w:t>proyecto de acto legislativo.</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Impacto fiscal</w:t>
      </w:r>
      <w:r w:rsidRPr="00921C79">
        <w:rPr>
          <w:rFonts w:ascii="Book Antiqua" w:eastAsia="Arial" w:hAnsi="Book Antiqua" w:cs="Arial"/>
          <w:sz w:val="22"/>
          <w:szCs w:val="22"/>
        </w:rPr>
        <w:t>.</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Marco normativo</w:t>
      </w:r>
      <w:r w:rsidRPr="00921C79">
        <w:rPr>
          <w:rFonts w:ascii="Book Antiqua" w:eastAsia="Arial" w:hAnsi="Book Antiqua" w:cs="Arial"/>
          <w:sz w:val="22"/>
          <w:szCs w:val="22"/>
        </w:rPr>
        <w:t>.</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Pliego de modificaciones</w:t>
      </w:r>
      <w:r w:rsidRPr="00921C79">
        <w:rPr>
          <w:rFonts w:ascii="Book Antiqua" w:eastAsia="Arial" w:hAnsi="Book Antiqua" w:cs="Arial"/>
          <w:sz w:val="22"/>
          <w:szCs w:val="22"/>
        </w:rPr>
        <w:t>.</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Conflicto de interés</w:t>
      </w:r>
      <w:r w:rsidRPr="00921C79">
        <w:rPr>
          <w:rFonts w:ascii="Book Antiqua" w:eastAsia="Arial" w:hAnsi="Book Antiqua" w:cs="Arial"/>
          <w:sz w:val="22"/>
          <w:szCs w:val="22"/>
        </w:rPr>
        <w:t>.</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Proposición</w:t>
      </w:r>
      <w:r w:rsidRPr="00921C79">
        <w:rPr>
          <w:rFonts w:ascii="Book Antiqua" w:eastAsia="Arial" w:hAnsi="Book Antiqua" w:cs="Arial"/>
          <w:sz w:val="22"/>
          <w:szCs w:val="22"/>
        </w:rPr>
        <w:t>.</w:t>
      </w:r>
    </w:p>
    <w:p w:rsidR="00011D5F" w:rsidRPr="00921C79" w:rsidRDefault="00967FDC">
      <w:pPr>
        <w:numPr>
          <w:ilvl w:val="0"/>
          <w:numId w:val="2"/>
        </w:numPr>
        <w:pBdr>
          <w:top w:val="nil"/>
          <w:left w:val="nil"/>
          <w:bottom w:val="nil"/>
          <w:right w:val="nil"/>
          <w:between w:val="nil"/>
        </w:pBdr>
        <w:rPr>
          <w:rFonts w:ascii="Book Antiqua" w:eastAsia="Arial" w:hAnsi="Book Antiqua" w:cs="Arial"/>
          <w:color w:val="000000"/>
          <w:sz w:val="22"/>
          <w:szCs w:val="22"/>
        </w:rPr>
      </w:pPr>
      <w:r w:rsidRPr="00921C79">
        <w:rPr>
          <w:rFonts w:ascii="Book Antiqua" w:eastAsia="Arial" w:hAnsi="Book Antiqua" w:cs="Arial"/>
          <w:color w:val="000000"/>
          <w:sz w:val="22"/>
          <w:szCs w:val="22"/>
        </w:rPr>
        <w:t xml:space="preserve">Texto propuesto para </w:t>
      </w:r>
      <w:r w:rsidRPr="00921C79">
        <w:rPr>
          <w:rFonts w:ascii="Book Antiqua" w:eastAsia="Arial" w:hAnsi="Book Antiqua" w:cs="Arial"/>
          <w:sz w:val="22"/>
          <w:szCs w:val="22"/>
        </w:rPr>
        <w:t xml:space="preserve">primer </w:t>
      </w:r>
      <w:r w:rsidRPr="00921C79">
        <w:rPr>
          <w:rFonts w:ascii="Book Antiqua" w:eastAsia="Arial" w:hAnsi="Book Antiqua" w:cs="Arial"/>
          <w:color w:val="000000"/>
          <w:sz w:val="22"/>
          <w:szCs w:val="22"/>
        </w:rPr>
        <w:t>debate</w:t>
      </w:r>
      <w:r w:rsidRPr="00921C79">
        <w:rPr>
          <w:rFonts w:ascii="Book Antiqua" w:eastAsia="Arial" w:hAnsi="Book Antiqua" w:cs="Arial"/>
          <w:sz w:val="22"/>
          <w:szCs w:val="22"/>
        </w:rPr>
        <w:t>.</w:t>
      </w:r>
    </w:p>
    <w:p w:rsidR="00011D5F" w:rsidRPr="00921C79" w:rsidRDefault="00011D5F">
      <w:pPr>
        <w:rPr>
          <w:rFonts w:ascii="Book Antiqua" w:eastAsia="Arial" w:hAnsi="Book Antiqua" w:cs="Arial"/>
          <w:b/>
          <w:sz w:val="22"/>
          <w:szCs w:val="22"/>
        </w:rPr>
      </w:pPr>
    </w:p>
    <w:p w:rsidR="00011D5F" w:rsidRPr="00921C79" w:rsidRDefault="00967FDC">
      <w:pPr>
        <w:pStyle w:val="Ttulo1"/>
        <w:numPr>
          <w:ilvl w:val="3"/>
          <w:numId w:val="3"/>
        </w:numPr>
        <w:rPr>
          <w:rFonts w:ascii="Book Antiqua" w:hAnsi="Book Antiqua"/>
          <w:color w:val="000000"/>
        </w:rPr>
      </w:pPr>
      <w:bookmarkStart w:id="2" w:name="_heading=h.3dy6vkm" w:colFirst="0" w:colLast="0"/>
      <w:bookmarkEnd w:id="2"/>
      <w:r w:rsidRPr="00921C79">
        <w:rPr>
          <w:rFonts w:ascii="Book Antiqua" w:hAnsi="Book Antiqua"/>
          <w:color w:val="000000"/>
          <w:u w:val="single"/>
        </w:rPr>
        <w:t>T</w:t>
      </w:r>
      <w:r w:rsidRPr="00921C79">
        <w:rPr>
          <w:rFonts w:ascii="Book Antiqua" w:hAnsi="Book Antiqua"/>
          <w:u w:val="single"/>
        </w:rPr>
        <w:t xml:space="preserve">RÁMITE DE LA INICIATIVA </w:t>
      </w:r>
    </w:p>
    <w:p w:rsidR="00011D5F" w:rsidRPr="00921C79" w:rsidRDefault="00967FDC">
      <w:pPr>
        <w:jc w:val="both"/>
        <w:rPr>
          <w:rFonts w:ascii="Book Antiqua" w:eastAsia="Arial" w:hAnsi="Book Antiqua" w:cs="Arial"/>
          <w:b/>
          <w:sz w:val="22"/>
          <w:szCs w:val="22"/>
        </w:rPr>
      </w:pPr>
      <w:r w:rsidRPr="00921C79">
        <w:rPr>
          <w:rFonts w:ascii="Book Antiqua" w:eastAsia="Arial" w:hAnsi="Book Antiqua" w:cs="Arial"/>
          <w:sz w:val="22"/>
          <w:szCs w:val="22"/>
        </w:rPr>
        <w:t>El pasado 6 de marzo de 2024 se radicó ante la Cámara de Representantes el “</w:t>
      </w:r>
      <w:r w:rsidRPr="00921C79">
        <w:rPr>
          <w:rFonts w:ascii="Book Antiqua" w:eastAsia="Arial" w:hAnsi="Book Antiqua" w:cs="Arial"/>
          <w:i/>
          <w:sz w:val="22"/>
          <w:szCs w:val="22"/>
        </w:rPr>
        <w:t xml:space="preserve">Proyecto de Acto Legislativo 394-2024C, </w:t>
      </w:r>
      <w:r w:rsidRPr="00921C79">
        <w:rPr>
          <w:rFonts w:ascii="Book Antiqua" w:eastAsia="Arial" w:hAnsi="Book Antiqua" w:cs="Arial"/>
          <w:sz w:val="22"/>
          <w:szCs w:val="22"/>
        </w:rPr>
        <w:t>el cual tiene como propósito la actualización de la norma constitucional al permitir la libertad política.</w:t>
      </w:r>
    </w:p>
    <w:p w:rsidR="00011D5F" w:rsidRPr="00921C79" w:rsidRDefault="00967FDC">
      <w:pPr>
        <w:spacing w:before="240"/>
        <w:jc w:val="both"/>
        <w:rPr>
          <w:rFonts w:ascii="Book Antiqua" w:eastAsia="Arial" w:hAnsi="Book Antiqua" w:cs="Arial"/>
          <w:sz w:val="22"/>
          <w:szCs w:val="22"/>
        </w:rPr>
      </w:pPr>
      <w:r w:rsidRPr="00921C79">
        <w:rPr>
          <w:rFonts w:ascii="Book Antiqua" w:eastAsia="Arial" w:hAnsi="Book Antiqua" w:cs="Arial"/>
          <w:sz w:val="22"/>
          <w:szCs w:val="22"/>
        </w:rPr>
        <w:t>Una vez fue radicada la iniciativa legislativa ante la Secretaría de la Cámara de Representantes, al proyecto de Acto Legislativo le fue asignado el número 394 de 2024 Cámara y fue publicado en la Gaceta del Congreso No. 221 de 2024.</w:t>
      </w:r>
    </w:p>
    <w:p w:rsidR="00011D5F" w:rsidRPr="00921C79" w:rsidRDefault="00011D5F">
      <w:pPr>
        <w:jc w:val="both"/>
        <w:rPr>
          <w:rFonts w:ascii="Book Antiqua" w:eastAsia="Arial" w:hAnsi="Book Antiqua" w:cs="Arial"/>
          <w:sz w:val="22"/>
          <w:szCs w:val="22"/>
        </w:rPr>
      </w:pP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La Mesa Directiva de esta célula legislativa, mediante Oficio C.PC.P. 3.1 - 0883 - 2024, designó como ponente coordinadora a la Representante Marelen Castillo Torres. Así mismo, se designó como ponentes a los Representantes Gabriel Becerra Yáñez, Miguel Abraham Polo Polo, Adriana Carolina Arbeláez Giraldo, Andrés Felipe Jiménez Vargas, Álvaro Leonel Rueda Caballero, Jorge Eliecer Tamayo Marulanda, Orlando Castillo Advíncula, Duvalier Sánchez Arango y Luis Alberto Albán Urbano.</w:t>
      </w:r>
    </w:p>
    <w:p w:rsidR="00011D5F" w:rsidRPr="00921C79" w:rsidRDefault="00011D5F">
      <w:pPr>
        <w:rPr>
          <w:rFonts w:ascii="Book Antiqua" w:eastAsia="Arial" w:hAnsi="Book Antiqua" w:cs="Arial"/>
          <w:sz w:val="22"/>
          <w:szCs w:val="22"/>
        </w:rPr>
      </w:pPr>
    </w:p>
    <w:p w:rsidR="00011D5F" w:rsidRPr="00921C79" w:rsidRDefault="00967FDC">
      <w:pPr>
        <w:pStyle w:val="Ttulo1"/>
        <w:numPr>
          <w:ilvl w:val="3"/>
          <w:numId w:val="3"/>
        </w:numPr>
        <w:spacing w:before="0" w:after="0" w:line="240" w:lineRule="auto"/>
        <w:rPr>
          <w:rFonts w:ascii="Book Antiqua" w:hAnsi="Book Antiqua"/>
          <w:color w:val="000000"/>
        </w:rPr>
      </w:pPr>
      <w:r w:rsidRPr="00921C79">
        <w:rPr>
          <w:rFonts w:ascii="Book Antiqua" w:hAnsi="Book Antiqua"/>
          <w:color w:val="000000"/>
          <w:u w:val="single"/>
        </w:rPr>
        <w:t>O</w:t>
      </w:r>
      <w:r w:rsidRPr="00921C79">
        <w:rPr>
          <w:rFonts w:ascii="Book Antiqua" w:hAnsi="Book Antiqua"/>
          <w:u w:val="single"/>
        </w:rPr>
        <w:t>BJETO DEL PROYECTO DE ACTO LEGISLATIVO</w:t>
      </w:r>
    </w:p>
    <w:p w:rsidR="00011D5F" w:rsidRPr="00921C79" w:rsidRDefault="00011D5F">
      <w:pPr>
        <w:pBdr>
          <w:top w:val="nil"/>
          <w:left w:val="nil"/>
          <w:bottom w:val="nil"/>
          <w:right w:val="nil"/>
          <w:between w:val="nil"/>
        </w:pBdr>
        <w:ind w:right="115"/>
        <w:rPr>
          <w:rFonts w:ascii="Book Antiqua" w:eastAsia="Arial" w:hAnsi="Book Antiqua" w:cs="Arial"/>
          <w:sz w:val="22"/>
          <w:szCs w:val="22"/>
        </w:rPr>
      </w:pP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El presente Acto Legislativo tiene por objeto la materialización del principio democrático, estableciendo un marco temporal de reorganización de los actores políticos democráticamente elegidos.</w:t>
      </w:r>
    </w:p>
    <w:p w:rsidR="00011D5F" w:rsidRPr="00921C79" w:rsidRDefault="00011D5F">
      <w:pPr>
        <w:jc w:val="both"/>
        <w:rPr>
          <w:rFonts w:ascii="Book Antiqua" w:eastAsia="Arial" w:hAnsi="Book Antiqua" w:cs="Arial"/>
          <w:sz w:val="22"/>
          <w:szCs w:val="22"/>
        </w:rPr>
      </w:pPr>
    </w:p>
    <w:p w:rsidR="00011D5F" w:rsidRPr="00921C79" w:rsidRDefault="00967FDC">
      <w:pPr>
        <w:pStyle w:val="Ttulo1"/>
        <w:numPr>
          <w:ilvl w:val="3"/>
          <w:numId w:val="3"/>
        </w:numPr>
        <w:spacing w:before="0" w:after="0" w:line="240" w:lineRule="auto"/>
        <w:rPr>
          <w:rFonts w:ascii="Book Antiqua" w:hAnsi="Book Antiqua"/>
        </w:rPr>
      </w:pPr>
      <w:bookmarkStart w:id="3" w:name="_heading=h.26in1rg" w:colFirst="0" w:colLast="0"/>
      <w:bookmarkEnd w:id="3"/>
      <w:r w:rsidRPr="00921C79">
        <w:rPr>
          <w:rFonts w:ascii="Book Antiqua" w:hAnsi="Book Antiqua"/>
          <w:u w:val="single"/>
        </w:rPr>
        <w:lastRenderedPageBreak/>
        <w:t>CONTENIDO DEL PROYECTO DE ACTO LEGISLATIVO</w:t>
      </w:r>
    </w:p>
    <w:p w:rsidR="00011D5F" w:rsidRPr="00921C79" w:rsidRDefault="00011D5F">
      <w:pPr>
        <w:jc w:val="both"/>
        <w:rPr>
          <w:rFonts w:ascii="Book Antiqua" w:eastAsia="Arial" w:hAnsi="Book Antiqua" w:cs="Arial"/>
          <w:sz w:val="22"/>
          <w:szCs w:val="22"/>
        </w:rPr>
      </w:pP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El Proyecto de Acto Legislativo cuenta con un (1) artículo</w:t>
      </w:r>
      <w:r w:rsidRPr="00921C79">
        <w:rPr>
          <w:rFonts w:ascii="Book Antiqua" w:eastAsia="Arial" w:hAnsi="Book Antiqua" w:cs="Arial"/>
          <w:color w:val="000000"/>
          <w:sz w:val="22"/>
          <w:szCs w:val="22"/>
        </w:rPr>
        <w:t xml:space="preserve"> que adiciona un parágrafo al artículo 107 de la Constitución Política de Colombia. </w:t>
      </w:r>
    </w:p>
    <w:p w:rsidR="00011D5F" w:rsidRPr="00921C79" w:rsidRDefault="00011D5F">
      <w:pPr>
        <w:jc w:val="both"/>
        <w:rPr>
          <w:rFonts w:ascii="Book Antiqua" w:eastAsia="Arial" w:hAnsi="Book Antiqua" w:cs="Arial"/>
          <w:sz w:val="22"/>
          <w:szCs w:val="22"/>
        </w:rPr>
      </w:pP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 xml:space="preserve">Para el primer debate, y teniendo en cuenta los aportes de los distintos ponentes se presenta una ponencia con dos (2) artículos. </w:t>
      </w:r>
    </w:p>
    <w:p w:rsidR="00011D5F" w:rsidRPr="00921C79" w:rsidRDefault="00011D5F">
      <w:pPr>
        <w:jc w:val="both"/>
        <w:rPr>
          <w:rFonts w:ascii="Book Antiqua" w:eastAsia="Arial" w:hAnsi="Book Antiqua" w:cs="Arial"/>
          <w:sz w:val="22"/>
          <w:szCs w:val="22"/>
        </w:rPr>
      </w:pPr>
    </w:p>
    <w:p w:rsidR="00011D5F" w:rsidRPr="00921C79" w:rsidRDefault="00921C79">
      <w:pPr>
        <w:pBdr>
          <w:top w:val="nil"/>
          <w:left w:val="nil"/>
          <w:bottom w:val="nil"/>
          <w:right w:val="nil"/>
          <w:between w:val="nil"/>
        </w:pBdr>
        <w:jc w:val="both"/>
        <w:rPr>
          <w:rFonts w:ascii="Book Antiqua" w:eastAsia="Arial" w:hAnsi="Book Antiqua" w:cs="Arial"/>
          <w:color w:val="000000"/>
          <w:sz w:val="22"/>
          <w:szCs w:val="22"/>
        </w:rPr>
      </w:pPr>
      <w:r w:rsidRPr="00921C79">
        <w:rPr>
          <w:rFonts w:ascii="Book Antiqua" w:eastAsia="Arial" w:hAnsi="Book Antiqua" w:cs="Arial"/>
          <w:b/>
          <w:color w:val="000000"/>
          <w:sz w:val="22"/>
          <w:szCs w:val="22"/>
        </w:rPr>
        <w:t>Artículo</w:t>
      </w:r>
      <w:r w:rsidR="00967FDC" w:rsidRPr="00921C79">
        <w:rPr>
          <w:rFonts w:ascii="Book Antiqua" w:eastAsia="Arial" w:hAnsi="Book Antiqua" w:cs="Arial"/>
          <w:b/>
          <w:color w:val="000000"/>
          <w:sz w:val="22"/>
          <w:szCs w:val="22"/>
        </w:rPr>
        <w:t xml:space="preserve"> 1.</w:t>
      </w:r>
      <w:r w:rsidR="00967FDC" w:rsidRPr="00921C79">
        <w:rPr>
          <w:rFonts w:ascii="Book Antiqua" w:eastAsia="Arial" w:hAnsi="Book Antiqua" w:cs="Arial"/>
          <w:color w:val="000000"/>
          <w:sz w:val="22"/>
          <w:szCs w:val="22"/>
        </w:rPr>
        <w:t xml:space="preserve"> Adiciona un parágrafo al artículo 107 de la Constitución Política de Colombia.</w:t>
      </w:r>
    </w:p>
    <w:p w:rsidR="00011D5F" w:rsidRPr="00921C79" w:rsidRDefault="00921C79">
      <w:pPr>
        <w:pBdr>
          <w:top w:val="nil"/>
          <w:left w:val="nil"/>
          <w:bottom w:val="nil"/>
          <w:right w:val="nil"/>
          <w:between w:val="nil"/>
        </w:pBdr>
        <w:jc w:val="both"/>
        <w:rPr>
          <w:rFonts w:ascii="Book Antiqua" w:eastAsia="Arial" w:hAnsi="Book Antiqua" w:cs="Arial"/>
          <w:color w:val="000000"/>
          <w:sz w:val="22"/>
          <w:szCs w:val="22"/>
        </w:rPr>
      </w:pPr>
      <w:r w:rsidRPr="00921C79">
        <w:rPr>
          <w:rFonts w:ascii="Book Antiqua" w:eastAsia="Arial" w:hAnsi="Book Antiqua" w:cs="Arial"/>
          <w:b/>
          <w:color w:val="000000"/>
          <w:sz w:val="22"/>
          <w:szCs w:val="22"/>
        </w:rPr>
        <w:t>Artículo</w:t>
      </w:r>
      <w:r w:rsidR="00967FDC" w:rsidRPr="00921C79">
        <w:rPr>
          <w:rFonts w:ascii="Book Antiqua" w:eastAsia="Arial" w:hAnsi="Book Antiqua" w:cs="Arial"/>
          <w:b/>
          <w:color w:val="000000"/>
          <w:sz w:val="22"/>
          <w:szCs w:val="22"/>
        </w:rPr>
        <w:t xml:space="preserve"> 2.</w:t>
      </w:r>
      <w:r w:rsidR="00967FDC" w:rsidRPr="00921C79">
        <w:rPr>
          <w:rFonts w:ascii="Book Antiqua" w:eastAsia="Arial" w:hAnsi="Book Antiqua" w:cs="Arial"/>
          <w:color w:val="000000"/>
          <w:sz w:val="22"/>
          <w:szCs w:val="22"/>
        </w:rPr>
        <w:t xml:space="preserve"> Vigencia y derogatorias.</w:t>
      </w:r>
    </w:p>
    <w:p w:rsidR="00011D5F" w:rsidRPr="00921C79" w:rsidRDefault="00011D5F">
      <w:pPr>
        <w:pBdr>
          <w:top w:val="nil"/>
          <w:left w:val="nil"/>
          <w:bottom w:val="nil"/>
          <w:right w:val="nil"/>
          <w:between w:val="nil"/>
        </w:pBdr>
        <w:jc w:val="both"/>
        <w:rPr>
          <w:rFonts w:ascii="Book Antiqua" w:eastAsia="Arial" w:hAnsi="Book Antiqua" w:cs="Arial"/>
          <w:sz w:val="22"/>
          <w:szCs w:val="22"/>
        </w:rPr>
      </w:pPr>
    </w:p>
    <w:p w:rsidR="00011D5F" w:rsidRPr="00921C79" w:rsidRDefault="00967FDC">
      <w:pPr>
        <w:pStyle w:val="Ttulo1"/>
        <w:numPr>
          <w:ilvl w:val="3"/>
          <w:numId w:val="3"/>
        </w:numPr>
        <w:spacing w:before="0" w:after="0" w:line="240" w:lineRule="auto"/>
        <w:rPr>
          <w:rFonts w:ascii="Book Antiqua" w:hAnsi="Book Antiqua"/>
          <w:color w:val="000000"/>
        </w:rPr>
      </w:pPr>
      <w:bookmarkStart w:id="4" w:name="_heading=h.lnxbz9" w:colFirst="0" w:colLast="0"/>
      <w:bookmarkEnd w:id="4"/>
      <w:r w:rsidRPr="00921C79">
        <w:rPr>
          <w:rFonts w:ascii="Book Antiqua" w:hAnsi="Book Antiqua"/>
          <w:color w:val="000000"/>
          <w:u w:val="single"/>
        </w:rPr>
        <w:t>JUSTIFICACIÓN DEL PROYECTO DE ACTO LEGISLATIVO</w:t>
      </w:r>
    </w:p>
    <w:p w:rsidR="00011D5F" w:rsidRPr="00921C79" w:rsidRDefault="00011D5F">
      <w:pPr>
        <w:rPr>
          <w:rFonts w:ascii="Book Antiqua" w:hAnsi="Book Antiqua"/>
        </w:rPr>
      </w:pPr>
    </w:p>
    <w:p w:rsidR="00011D5F" w:rsidRPr="00921C79" w:rsidRDefault="00967FDC">
      <w:pPr>
        <w:spacing w:after="160" w:line="276" w:lineRule="auto"/>
        <w:jc w:val="both"/>
        <w:rPr>
          <w:rFonts w:ascii="Book Antiqua" w:eastAsia="Arial" w:hAnsi="Book Antiqua" w:cs="Arial"/>
          <w:sz w:val="22"/>
          <w:szCs w:val="22"/>
        </w:rPr>
      </w:pPr>
      <w:bookmarkStart w:id="5" w:name="_heading=h.gjdgxs" w:colFirst="0" w:colLast="0"/>
      <w:bookmarkEnd w:id="5"/>
      <w:r w:rsidRPr="00921C79">
        <w:rPr>
          <w:rFonts w:ascii="Book Antiqua" w:eastAsia="Arial" w:hAnsi="Book Antiqua" w:cs="Arial"/>
          <w:sz w:val="22"/>
          <w:szCs w:val="22"/>
        </w:rPr>
        <w:t xml:space="preserve">Nuestra historia política puede entenderse, con más o menos detalle, como el proceso continuo de liberación de tensiones sociales mediante mecanismos constitucionales de constricción o apertura del sistema democrático de participación. Desde el logro de la independencia, el permanente reto de construcción de nación ha consistido en la identificación del marco normativo que permita dar cuenta del pluralismo cultural de nuestro territorio, desde una perspectiva que, a la vez, asegure el carácter unitario de nuestro país y la inclusión progresiva de todos y cada uno de sus integrantes. El proceso de interpretación jurídica de nuestro pacto social, que hemos venido plasmando desde el texto Constitucional de 1821, ha intentado dar cuenta de la evolución social, económica, política y moral de la ciudadanía, siempre en función de la incorporación progresiva de un marco integral de derechos que aseguren la representación fidedigna de nuestra compleja realidad. </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De modo paralelo a nuestra tensión histórica entre violencia y paz, nuestra vida republicana se puede reconstruir en términos de los niveles de apertura institucional que hemos desarrollado para los miembros de la sociedad. Desde el marco normativo que plasmó la abolición de la esclavitud en 1851, hasta el reciente -2023- reconocimiento del campesinado como sujeto de derechos, pasando por el voto femenino -1954- o el marco jurídico de protección a las víctimas del conflicto, nuestro ordenamiento constitucional y legal ha intentado dar cuenta del nivel de apropiación social de conceptos democráticos de avanzada. Colombia, en este sentido, ha sido un orgulloso faro de orientación política y normativa de las naciones, especialmente en razón a que hemos configurado un esquema estatal equilibrado, con unas ramas del poder público cada vez más sensibles al sentir inmediato de la voluntad popular, y a la vez más comprometidos con el fortalecimiento institucional de la nación.   </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Como es apenas lógico, cualquier interpretación de la realidad que se pretenda hacer positiva en nuestro texto constitucional debe obedecer, por lo menos, a dos principios fundamentales, uno de carácter procedimental y otro de carácter ontológico. El primero, que </w:t>
      </w:r>
      <w:r w:rsidRPr="00921C79">
        <w:rPr>
          <w:rFonts w:ascii="Book Antiqua" w:eastAsia="Arial" w:hAnsi="Book Antiqua" w:cs="Arial"/>
          <w:sz w:val="22"/>
          <w:szCs w:val="22"/>
        </w:rPr>
        <w:lastRenderedPageBreak/>
        <w:t>llamamos procedimental, contempla la sujeción del desarrollo constitucional a los procedimientos establecidos para tal fin, bajo el estricto cumplimiento del principio democrático. El segundo, que llamamos ontológico, pretende establecer la naturaleza misma de una norma y su correlación con el sistema normativo completo, siéndole exigible un grado absoluto de coherencia interna dentro del ordenamiento, so pena de su expulsión por declaratoria de inexequibilidad. En síntesis, cualquier intento de incorporación de un elemento normativo a nuestra carta constitucional debe, en principio, asegurarse la corrección de los procedimientos, y a la vez la coherencia integral con la totalidad del ordenamiento jurídico.</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Hasta acá, hemos venido planteando que la evolución de nuestra historia republicana ha ido de la mano con desarrollos paralelos de nuestro ordenamiento constitucional, intentando plasmar, en cada etapa, los valores, intereses, objetivos y sentimientos del conglomerado social, sin dejar de lado los principios democráticos que aseguran el cumplimiento de un procedimiento reglado y la coherencia global del sistema, que garantice la seguridad jurídica de los asociados. Se resalta, además, que los sistemas normativos así entendidos, son esencialmente dinámicos, a la par de la evolución social misma, y han de tener cierto grado de flexibilidad que permita su adecuación y actualización constante, intentando corresponder en cada momento a cada contexto, sin alterar su componente axiológico en este devenir.</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En el marco de este permanente interés de actualización de la norma constitucional, que refleje el carácter integral de la nación en determinado momento, se ha generado un rico debate relacionado con el modo en que nuestro modelo de representación política puede otorgar más legitimidad a nuestro sistema democrático. En este sentido, la doctrina y la filosofía política han tratado de indagar por la manera en que un sistema democrático se reconoce como legítimo, es decir, cuando la ciudadanía reconoce y consciente el valor de la autoridad estatal en razón a su sujeción a las normas y a su respeto al principio democrático, con independencia del respaldo popular que lo constituyó. </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En lo relacionado con los procesos de elección de mandatarios, ya nacionales o territoriales, y de representantes en los órganos de deliberación parlamentaria, la filosofía política ha debatido acerca de si su legitimidad reside en su defensa y promoción de unos principios partidarios claramente establecidos, o si, por otro lado, su valor y legitimidad están determinados por el reconocimiento individual de cada representante y el modo en que su actuar, ajustado a unas reglas establecidas, se compagina con los intereses de particulares de sus electores. Este debate, de enorme trascendencia en la historia de la filosofía política, ha sido relativamente zanjado en el imaginario político colombiano, sin estar exento de controversias. La postura institucional frente al debate entre una “democracia de caudillos” o una “democracia de partidos”, ha optado, aparentemente, por esta última opción. Sin </w:t>
      </w:r>
      <w:r w:rsidRPr="00921C79">
        <w:rPr>
          <w:rFonts w:ascii="Book Antiqua" w:eastAsia="Arial" w:hAnsi="Book Antiqua" w:cs="Arial"/>
          <w:sz w:val="22"/>
          <w:szCs w:val="22"/>
        </w:rPr>
        <w:lastRenderedPageBreak/>
        <w:t xml:space="preserve">embargo, esta característica ha tenido enormes consecuencias, que no necesariamente han contribuido a dotar de legitimidad a nuestro sistema democrático, en gran medida, porque la disyunción exclusiva entre democracia de partidos y caudillismo se funda en supuestos y premisas que difícilmente encuentran un asidero real en nuestro entramado social, político y emocional.  </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La pretensión –legítima- de que una sociedad democrática funcione adecuadamente sin el concurso de “grandes hombres”, como decía Gustav Radbruch, sino con el trabajo mancomunado de personas comunes y corrientes, reunidos en partidos políticos fuertes y disciplinados, es completamente razonable como idea reguladora para una democracia en construcción. Sin embargo, su ejecución debe fundarse en ciertos presupuestos básicos de una cultura política moderna, la plena observancia de los derechos humanos, y la absoluta consciencia de su falibilidad. La falsa disyuntiva entre una democracia caudillista o una democracia de partidos se supera cuando se incluyen criterios democráticos elementales en la discusión, veamos algunos:</w:t>
      </w:r>
    </w:p>
    <w:p w:rsidR="00011D5F" w:rsidRPr="00921C79" w:rsidRDefault="00967FDC">
      <w:pPr>
        <w:numPr>
          <w:ilvl w:val="0"/>
          <w:numId w:val="5"/>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La pertenencia a un partido no puede constituir una barrera de acceso a los espacios democráticos de los ciudadanos en general, ni de sus afiliados en particular.</w:t>
      </w:r>
    </w:p>
    <w:p w:rsidR="00011D5F" w:rsidRPr="00921C79" w:rsidRDefault="00967FDC">
      <w:pPr>
        <w:numPr>
          <w:ilvl w:val="0"/>
          <w:numId w:val="5"/>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Ningún régimen de partidos puede estar por encima de los derechos humanos de los afiliados o la dignidad de cada uno de sus miembros individualmente considerados.</w:t>
      </w:r>
    </w:p>
    <w:p w:rsidR="00011D5F" w:rsidRPr="00921C79" w:rsidRDefault="00967FDC">
      <w:pPr>
        <w:numPr>
          <w:ilvl w:val="0"/>
          <w:numId w:val="5"/>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Los partidos políticos, independientemente de su modelo de organización y respetando su autonomía, deberán estar sujetos al principio democrático.</w:t>
      </w:r>
    </w:p>
    <w:p w:rsidR="00011D5F" w:rsidRPr="00921C79" w:rsidRDefault="00967FDC">
      <w:pPr>
        <w:numPr>
          <w:ilvl w:val="0"/>
          <w:numId w:val="5"/>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Las potestades de afiliación o renuncia a los partidos políticos constituyen derechos inalienables de las personas en razón de su autonomía personal.</w:t>
      </w:r>
    </w:p>
    <w:p w:rsidR="00011D5F" w:rsidRPr="00921C79" w:rsidRDefault="00967FDC">
      <w:pPr>
        <w:numPr>
          <w:ilvl w:val="0"/>
          <w:numId w:val="5"/>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Los partidos son autónomos en cuanto a su organización interna, siempre y cuando dicha prerrogativa no entre en conflicto con los derechos políticos de sus afiliados.</w:t>
      </w:r>
    </w:p>
    <w:p w:rsidR="00011D5F" w:rsidRPr="00921C79" w:rsidRDefault="00967FDC">
      <w:pPr>
        <w:numPr>
          <w:ilvl w:val="0"/>
          <w:numId w:val="5"/>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Reconocer el carácter potestativo de la pertenencia a los partidos políticos, debe ir de la mano con las condiciones efectivas para el ejercicio real de la acción política por fuera de los mismos.  </w:t>
      </w:r>
    </w:p>
    <w:p w:rsidR="00011D5F" w:rsidRPr="00921C79" w:rsidRDefault="00967FDC">
      <w:pPr>
        <w:numPr>
          <w:ilvl w:val="0"/>
          <w:numId w:val="5"/>
        </w:num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Las organizaciones partidarias deberán garantizar, en todos sus niveles, la alternancia, la equidad de género y la universalidad.</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El discurso sobre el fortalecimiento de los partidos, </w:t>
      </w:r>
      <w:r w:rsidR="00921C79" w:rsidRPr="00921C79">
        <w:rPr>
          <w:rFonts w:ascii="Book Antiqua" w:eastAsia="Arial" w:hAnsi="Book Antiqua" w:cs="Arial"/>
          <w:sz w:val="22"/>
          <w:szCs w:val="22"/>
        </w:rPr>
        <w:t>contra intuitivamente</w:t>
      </w:r>
      <w:r w:rsidRPr="00921C79">
        <w:rPr>
          <w:rFonts w:ascii="Book Antiqua" w:eastAsia="Arial" w:hAnsi="Book Antiqua" w:cs="Arial"/>
          <w:sz w:val="22"/>
          <w:szCs w:val="22"/>
        </w:rPr>
        <w:t xml:space="preserve">, no está hecho en función de los partidos políticos, sino del derecho ciudadano a tomar decisiones basado en la defensa de sus intereses reales y de sus preferencias personales, sin juzgar su origen, contenido o su nivel de arraigo interno. Propendemos por una democracia de partidos no en aras de defender </w:t>
      </w:r>
      <w:r w:rsidRPr="00921C79">
        <w:rPr>
          <w:rFonts w:ascii="Book Antiqua" w:eastAsia="Arial" w:hAnsi="Book Antiqua" w:cs="Arial"/>
          <w:i/>
          <w:sz w:val="22"/>
          <w:szCs w:val="22"/>
        </w:rPr>
        <w:t>per se</w:t>
      </w:r>
      <w:r w:rsidRPr="00921C79">
        <w:rPr>
          <w:rFonts w:ascii="Book Antiqua" w:eastAsia="Arial" w:hAnsi="Book Antiqua" w:cs="Arial"/>
          <w:sz w:val="22"/>
          <w:szCs w:val="22"/>
        </w:rPr>
        <w:t xml:space="preserve"> a los propios partidos, sino en función de asegurar que la representación política en un contexto puntual sea lo más fiel posible a los valores, sentimientos, ideales, preocupaciones y objetivos de la ciudadanía en general, en un </w:t>
      </w:r>
      <w:r w:rsidRPr="00921C79">
        <w:rPr>
          <w:rFonts w:ascii="Book Antiqua" w:eastAsia="Arial" w:hAnsi="Book Antiqua" w:cs="Arial"/>
          <w:sz w:val="22"/>
          <w:szCs w:val="22"/>
        </w:rPr>
        <w:lastRenderedPageBreak/>
        <w:t xml:space="preserve">determinado momento de la historia. Se busca la organización partidaria como un mecanismo eficaz de </w:t>
      </w:r>
      <w:r w:rsidRPr="00921C79">
        <w:rPr>
          <w:rFonts w:ascii="Book Antiqua" w:eastAsia="Arial" w:hAnsi="Book Antiqua" w:cs="Arial"/>
          <w:i/>
          <w:sz w:val="22"/>
          <w:szCs w:val="22"/>
        </w:rPr>
        <w:t>potenciar</w:t>
      </w:r>
      <w:r w:rsidRPr="00921C79">
        <w:rPr>
          <w:rFonts w:ascii="Book Antiqua" w:eastAsia="Arial" w:hAnsi="Book Antiqua" w:cs="Arial"/>
          <w:sz w:val="22"/>
          <w:szCs w:val="22"/>
        </w:rPr>
        <w:t xml:space="preserve"> la acción política de los ciudadanos, mas no de sustituirla.</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Los desarrollos más representativos de nuestro ordenamiento constitucional y legal con relación a los partidos políticos es la siguiente:</w:t>
      </w:r>
    </w:p>
    <w:p w:rsidR="00011D5F" w:rsidRPr="00921C79" w:rsidRDefault="00967FDC">
      <w:pPr>
        <w:numPr>
          <w:ilvl w:val="0"/>
          <w:numId w:val="4"/>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Ley 58 de 1985 y Decreto Reglamentario 2738/85. Estatuto de los partidos</w:t>
      </w:r>
    </w:p>
    <w:p w:rsidR="00011D5F" w:rsidRPr="00921C79" w:rsidRDefault="00967FDC">
      <w:pPr>
        <w:numPr>
          <w:ilvl w:val="0"/>
          <w:numId w:val="4"/>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Constitución Política de Colombia. Artículo 107</w:t>
      </w:r>
    </w:p>
    <w:p w:rsidR="00011D5F" w:rsidRPr="00921C79" w:rsidRDefault="00967FDC">
      <w:pPr>
        <w:numPr>
          <w:ilvl w:val="0"/>
          <w:numId w:val="4"/>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Ley 130 de 1994. Estatuto de Partidos y Movimientos Políticos</w:t>
      </w:r>
    </w:p>
    <w:p w:rsidR="00011D5F" w:rsidRPr="00921C79" w:rsidRDefault="00967FDC">
      <w:pPr>
        <w:numPr>
          <w:ilvl w:val="0"/>
          <w:numId w:val="4"/>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Ley 974 de 2005. Ley de Bancadas </w:t>
      </w:r>
    </w:p>
    <w:p w:rsidR="00011D5F" w:rsidRPr="00921C79" w:rsidRDefault="00967FDC">
      <w:pPr>
        <w:numPr>
          <w:ilvl w:val="0"/>
          <w:numId w:val="4"/>
        </w:numPr>
        <w:spacing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Acto Legislativo 01 de 2009. </w:t>
      </w:r>
    </w:p>
    <w:p w:rsidR="00011D5F" w:rsidRPr="00921C79" w:rsidRDefault="00967FDC">
      <w:pPr>
        <w:numPr>
          <w:ilvl w:val="0"/>
          <w:numId w:val="4"/>
        </w:num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Ley 1475 de 2011. Estatutaria de Partidos y Movimientos Políticos</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Cabe reiterar que, aunque en términos generales hay un consenso relativo en torno a la búsqueda de una democracia de partidos más sólida, en la que ciudadanos informados puedan tener la confianza legítima en que sus esquemas de valores y preferencias está debidamente representado en colectividades programáticamente definidas, nuestro ordenamiento jurídico dificulta, precisamente, perseguir ese consenso. Particularmente, el artículo 107 superior, objeto de modificación en la presente iniciativa, sumado al escaso desarrollo de la figura constitucional de las coaliciones, tal como está brevemente consignado en el artículo 262 superior, han dificultado las dinámicas de integración de partidos, dado que restringen las posibilidades de movilidad de aquellos actores que, en razón de su representatividad, buscar integrar las colectividades que más se ajusten a sus concepciones del bien y de lo público.</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Fruto de esta dificultad es el hecho de que, a febrero de 2024, la autoridad electoral tenga dentro de sus registros oficiales la suma de 37 partidos con personería jurídica vigente. Esto significa que el ordenamiento jurídico, que fue pensado en función de la consolidación y solidez de los partidos, tuvo como efecto colateral precisamente lo contrario, convertirlos en instituciones pequeñas y rígidas, sin posibilidad de contacto o integración, siempre susceptibles al no cumplimiento de los umbrales electorales legales y, en muchas ocasiones, constitutivos de camisas de fuerza para sus miembros o afiliados.    </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Ahora bien, la razón principal de que este escenario resulte problemático no reside ni en la multiplicidad de partidos, ni en la eventual vulnerabilidad de los actores políticos actuales respecto al futuro, si bien se reconoce que son factores de muy importante valor. Fundamentalmente, la vulneración principal derivada de la configuración actual del escenario político es la permanente indeterminación de los marcos programáticos que los ciudadanos encuentran en los espacios electorales. La proliferación de partidos hace indistinguibles las fronteras ideológicas de los actores políticos, contraviniendo el sentido por el cual se promulga una democracia de partidos. El pluralismo político, un objetivo </w:t>
      </w:r>
      <w:r w:rsidRPr="00921C79">
        <w:rPr>
          <w:rFonts w:ascii="Book Antiqua" w:eastAsia="Arial" w:hAnsi="Book Antiqua" w:cs="Arial"/>
          <w:sz w:val="22"/>
          <w:szCs w:val="22"/>
        </w:rPr>
        <w:lastRenderedPageBreak/>
        <w:t xml:space="preserve">central de la democracia moderna, sucumbe en las condiciones normativas actuales, a la mera proliferación partidista. </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Por otro lado, es importante centrar también el debate en el </w:t>
      </w:r>
      <w:r w:rsidR="00921C79" w:rsidRPr="00921C79">
        <w:rPr>
          <w:rFonts w:ascii="Book Antiqua" w:eastAsia="Arial" w:hAnsi="Book Antiqua" w:cs="Arial"/>
          <w:sz w:val="22"/>
          <w:szCs w:val="22"/>
        </w:rPr>
        <w:t>artículo</w:t>
      </w:r>
      <w:r w:rsidRPr="00921C79">
        <w:rPr>
          <w:rFonts w:ascii="Book Antiqua" w:eastAsia="Arial" w:hAnsi="Book Antiqua" w:cs="Arial"/>
          <w:sz w:val="22"/>
          <w:szCs w:val="22"/>
        </w:rPr>
        <w:t xml:space="preserve"> 38 constitucional y el derecho a la libertad de asociación consagrado en el mismo, se concibe desde dos puntos de vista; en un sentido positivo, consagra la libertad de los ciudadanos de unirse para la constitución de asociaciones o colectividades como lo son por ejemplo los partidos políticos, así como la libertad de vincularse a las que ya existen; y en un sentido negativo, implica la imposibilidad de constreñir u obligar a formar parte de alguna. Los intereses particulares de la asociación, no pueden oponerse a la prevalencia y efectividad de las normas superiores. El derecho de los ciudadanos de retirarse voluntariamente de una asociación, es un derecho constitucional consagrado no solamente en nuestra Constitución Política, sino en normas internacionales, tales como la Declaración Universal de Derechos Humanos, Pacto Internacional de derechos civiles y políticos, Convención Americana sobre derechos humanos, entre otros. Por ello, dentro de este contexto, aparece claro atar los der</w:t>
      </w:r>
      <w:r w:rsidR="00921C79">
        <w:rPr>
          <w:rFonts w:ascii="Book Antiqua" w:eastAsia="Arial" w:hAnsi="Book Antiqua" w:cs="Arial"/>
          <w:sz w:val="22"/>
          <w:szCs w:val="22"/>
        </w:rPr>
        <w:t>echos políticos de un corporado</w:t>
      </w:r>
      <w:r w:rsidRPr="00921C79">
        <w:rPr>
          <w:rFonts w:ascii="Book Antiqua" w:eastAsia="Arial" w:hAnsi="Book Antiqua" w:cs="Arial"/>
          <w:sz w:val="22"/>
          <w:szCs w:val="22"/>
        </w:rPr>
        <w:t xml:space="preserve"> al derecho de asociación que consagra la Carta, ya que la garantía constitucional de este derecho, implica también el respeto a los ciudadanos a la libertad negativa, que se traduce en el derecho a no asociarse.</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La Corte Constitucional ha expresado puntualmente sobre esta propuesta que cierta vez ya tuvo tránsito en el legislativo y resulto como parte de la constitución, que resulta en una regla transitoria, dirigida precisamente al fortalecimiento de los principios y valores constitucionales y que según sus particulares condiciones, puede válidamente comprenderse como un mecanismo para salvaguardar derechos constitucionales relevantes, como el derecho a elegir y ser elegido (art. 40.1 C.P.), al igual que el encauzamiento institucional de la garantía al derecho de conformar, pertenecer y retirarse de partidos o movimientos políticos (art. 107 C.P.). Ello, en tanto posibilita que los corporados que decidiesen cambiar de partido y movimiento político no terminaran afectados retroactivamente por este tipo de disposiciones como las contenidas en el artículo 107 constitucional que, se insiste, establece condiciones más estrictas para esta opción.</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De igual manera, la realidad actual de nuestro sistema de partidos dificulta otro escenario de gestión pública que debería brillar por su fluidez. Fundamentalmente, la eficiencia del trámite legislativo se basa en la facilidad de identificar las posiciones argumentativas representadas en los actores parlamentarios. La deliberación congresional, que pasa por la adopción franca de posturas y la designación concertada de voceros, corre el riesgo de dispersarse, dada la compartimentación del tiempo que implica el alto número de partidos vinculados. De igual modo, la necesaria interrelación entre la rama legislativa y la rama ejecutiva, en lo tocante al ejercicio permanente de la función de control político, se complejiza en demasía en escenarios de multiplicidad de partidos, haciendo inabarcable o </w:t>
      </w:r>
      <w:r w:rsidRPr="00921C79">
        <w:rPr>
          <w:rFonts w:ascii="Book Antiqua" w:eastAsia="Arial" w:hAnsi="Book Antiqua" w:cs="Arial"/>
          <w:sz w:val="22"/>
          <w:szCs w:val="22"/>
        </w:rPr>
        <w:lastRenderedPageBreak/>
        <w:t>ineficiente la discusión necesaria entre ramas del poder, uno de los factores que determina en gran medida el desempeño del aparato estatal.</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Un ejemplo claro de las anteriores consideraciones radica en que, en el escenario político actual, considerado a la luz de los procesos electorales de 2022 y 2023, se evidenció una necesidad urgente de reorganización programática de los partidos políticos, particularmente por el uso, casi generalizado, de la figura de las coaliciones. Partidos que, ya por su historia o por la formulación de sus programas, podrían considerarse esencialmente antagónicos o difícilmente convergentes, al igual que partidos cuya naturaleza, programa y origen son casi indistinguibles, presentaron propuestas y candidaturas conjuntas en el ámbito nacional y territorial, muchas de ellas con resultados positivos. Esta circunstancia particular, que por disposición constitucional sólo se permite una vez, no permite que proyectos políticos construidos para hacer frente a la situación actual del país, tengan vocación de permanencia o puedan redundar en la construcción de partidos cada vez más sólidos o abarcantes, puesto que al superar el margen de votación establecido en el artículo 262 superior (15% en la respectiva circunscripción), las coaliciones tendrían una vigencia limitada en extremo, constituyendo una carga injustificada para aquellos actores políticos que vieron en la unión una posibilidad de interpretar el sentimiento ciudadano y encontraron eco en el electorado. </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 xml:space="preserve">Este proyecto pretende la materialización del principio democrático, estableciendo un marco temporal de reorganización de los actores políticos democráticamente elegidos, especialmente cuando mediante la suscripción de acuerdos de coalición, en uso de su libertad política, la ciudadanía los ha investido del apoyo popular. En esta medida, la participación de los corporados en colectividades democráticas, partidos o movimientos políticos, obedecerá fundamentalmente a criterios programáticos y la búsqueda del bien común determinado por su perspectiva particular. Con ello, la libertad política, entendida como la conjunción real entre la voluntad popular y los intereses genuinos de los actores políticos, permite superar la fragmentación del espectro ideológico, a la que obliga el cumplimiento de la actual disposición constitucional. </w:t>
      </w:r>
    </w:p>
    <w:p w:rsidR="00011D5F"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Buscando inscribirse en este debate académico, político y filosófico, este proyecto pretende encontrar un punto medio, un espacio transitorio de distención política, que permita la reorganización de los actores políticos en función de sus representados, identificando dentro de un panorama de múltiples opciones, aquella en la cual consideren que sus posturas, valores, intereses, convicciones y sentimientos, encuentran un escenario lógico y natural de potenciación, sin vulnerar la voluntad de sus electores, ni tampoco sacrificar las convicciones propias.</w:t>
      </w:r>
    </w:p>
    <w:p w:rsidR="00187966" w:rsidRPr="00921C79" w:rsidRDefault="00187966">
      <w:pPr>
        <w:spacing w:after="160" w:line="276" w:lineRule="auto"/>
        <w:jc w:val="both"/>
        <w:rPr>
          <w:rFonts w:ascii="Book Antiqua" w:eastAsia="Arial" w:hAnsi="Book Antiqua" w:cs="Arial"/>
          <w:sz w:val="22"/>
          <w:szCs w:val="22"/>
        </w:rPr>
      </w:pPr>
    </w:p>
    <w:p w:rsidR="00011D5F" w:rsidRPr="00921C79" w:rsidRDefault="00967FDC">
      <w:pPr>
        <w:numPr>
          <w:ilvl w:val="0"/>
          <w:numId w:val="5"/>
        </w:numPr>
        <w:pBdr>
          <w:top w:val="nil"/>
          <w:left w:val="nil"/>
          <w:bottom w:val="nil"/>
          <w:right w:val="nil"/>
          <w:between w:val="nil"/>
        </w:pBdr>
        <w:spacing w:after="160" w:line="276" w:lineRule="auto"/>
        <w:jc w:val="both"/>
        <w:rPr>
          <w:rFonts w:ascii="Book Antiqua" w:eastAsia="Arial" w:hAnsi="Book Antiqua" w:cs="Arial"/>
          <w:color w:val="000000"/>
          <w:sz w:val="22"/>
          <w:szCs w:val="22"/>
        </w:rPr>
      </w:pPr>
      <w:r w:rsidRPr="00921C79">
        <w:rPr>
          <w:rFonts w:ascii="Book Antiqua" w:eastAsia="Arial" w:hAnsi="Book Antiqua" w:cs="Arial"/>
          <w:i/>
          <w:color w:val="000000"/>
          <w:sz w:val="22"/>
          <w:szCs w:val="22"/>
        </w:rPr>
        <w:lastRenderedPageBreak/>
        <w:t>Antecedentes</w:t>
      </w:r>
      <w:r w:rsidRPr="00921C79">
        <w:rPr>
          <w:rFonts w:ascii="Book Antiqua" w:eastAsia="Arial" w:hAnsi="Book Antiqua" w:cs="Arial"/>
          <w:color w:val="000000"/>
          <w:sz w:val="22"/>
          <w:szCs w:val="22"/>
        </w:rPr>
        <w:t xml:space="preserve"> normativos:</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El acto legislativo 01 de 2009 Permitió la libertad política donde se autoriza a los miembros de cuerpos colegiados de elección popular por única vez a renunciar e inscribirse en un partido distinto al que los avalo sin incurrir en inhabilidad.</w:t>
      </w:r>
    </w:p>
    <w:p w:rsidR="00011D5F" w:rsidRPr="00921C79" w:rsidRDefault="00967FDC">
      <w:pPr>
        <w:spacing w:after="160" w:line="276" w:lineRule="auto"/>
        <w:jc w:val="both"/>
        <w:rPr>
          <w:rFonts w:ascii="Book Antiqua" w:eastAsia="Arial" w:hAnsi="Book Antiqua" w:cs="Arial"/>
          <w:sz w:val="22"/>
          <w:szCs w:val="22"/>
        </w:rPr>
      </w:pPr>
      <w:r w:rsidRPr="00921C79">
        <w:rPr>
          <w:rFonts w:ascii="Book Antiqua" w:eastAsia="Arial" w:hAnsi="Book Antiqua" w:cs="Arial"/>
          <w:sz w:val="22"/>
          <w:szCs w:val="22"/>
        </w:rPr>
        <w:t>Del mismo modo han surgido iniciativas legislativas que lo pretenden desde aquel entonces, por ejemplo, el Proyecto de Ley número 381 de 2020 Cámara, y también, la reforma política que cursó en el Congreso de la República en el año 2022 con el Proyecto de Acto Legislativo de 243 de 2022 Cámara.</w:t>
      </w:r>
    </w:p>
    <w:p w:rsidR="00011D5F" w:rsidRPr="00921C79" w:rsidRDefault="00967FDC">
      <w:pPr>
        <w:pStyle w:val="Ttulo1"/>
        <w:numPr>
          <w:ilvl w:val="0"/>
          <w:numId w:val="1"/>
        </w:numPr>
        <w:rPr>
          <w:rFonts w:ascii="Book Antiqua" w:hAnsi="Book Antiqua"/>
          <w:u w:val="single"/>
        </w:rPr>
      </w:pPr>
      <w:bookmarkStart w:id="6" w:name="_heading=h.1ksv4uv" w:colFirst="0" w:colLast="0"/>
      <w:bookmarkEnd w:id="6"/>
      <w:r w:rsidRPr="00921C79">
        <w:rPr>
          <w:rFonts w:ascii="Book Antiqua" w:hAnsi="Book Antiqua"/>
          <w:u w:val="single"/>
        </w:rPr>
        <w:t>IMPACTO FISCAL</w:t>
      </w:r>
    </w:p>
    <w:p w:rsidR="00011D5F" w:rsidRPr="00921C79" w:rsidRDefault="00011D5F">
      <w:pPr>
        <w:rPr>
          <w:rFonts w:ascii="Book Antiqua" w:hAnsi="Book Antiqua"/>
        </w:rPr>
      </w:pPr>
    </w:p>
    <w:p w:rsidR="00011D5F" w:rsidRPr="00921C79" w:rsidRDefault="00967FDC">
      <w:pPr>
        <w:spacing w:line="256" w:lineRule="auto"/>
        <w:jc w:val="both"/>
        <w:rPr>
          <w:rFonts w:ascii="Book Antiqua" w:eastAsia="Arial" w:hAnsi="Book Antiqua" w:cs="Arial"/>
          <w:sz w:val="22"/>
          <w:szCs w:val="22"/>
        </w:rPr>
      </w:pPr>
      <w:r w:rsidRPr="00921C79">
        <w:rPr>
          <w:rFonts w:ascii="Book Antiqua" w:eastAsia="Arial" w:hAnsi="Book Antiqua" w:cs="Arial"/>
          <w:sz w:val="22"/>
          <w:szCs w:val="22"/>
        </w:rPr>
        <w:t>En el marco de lo establecido en el artículo 7 de la Ley 819 de 2003, por la cual se dictan normas orgánicas en materia de presupuesto, responsabilidad y transparencia fiscal y se dictan otras disposiciones, que establece:</w:t>
      </w:r>
    </w:p>
    <w:p w:rsidR="00011D5F" w:rsidRPr="00921C79" w:rsidRDefault="00011D5F">
      <w:pPr>
        <w:spacing w:line="256" w:lineRule="auto"/>
        <w:jc w:val="both"/>
        <w:rPr>
          <w:rFonts w:ascii="Book Antiqua" w:eastAsia="Arial" w:hAnsi="Book Antiqua" w:cs="Arial"/>
          <w:sz w:val="22"/>
          <w:szCs w:val="22"/>
        </w:rPr>
      </w:pPr>
    </w:p>
    <w:p w:rsidR="00011D5F" w:rsidRPr="00921C79" w:rsidRDefault="00967FDC">
      <w:pPr>
        <w:spacing w:line="256" w:lineRule="auto"/>
        <w:jc w:val="both"/>
        <w:rPr>
          <w:rFonts w:ascii="Book Antiqua" w:eastAsia="Arial" w:hAnsi="Book Antiqua" w:cs="Arial"/>
          <w:sz w:val="22"/>
          <w:szCs w:val="22"/>
        </w:rPr>
      </w:pPr>
      <w:r w:rsidRPr="00921C79">
        <w:rPr>
          <w:rFonts w:ascii="Book Antiqua" w:eastAsia="Arial" w:hAnsi="Book Antiqua" w:cs="Arial"/>
          <w:sz w:val="22"/>
          <w:szCs w:val="22"/>
        </w:rPr>
        <w:t>“En todo momento, el impacto fiscal de cualquier proyecto de ley, ordenanza o acuerdo, que ordene gasto o que otorgue beneficios tributarios, deberá hacerse explícito y deberá ser compatible con el Marco Fiscal de Mediano Plazo.”</w:t>
      </w:r>
    </w:p>
    <w:p w:rsidR="00011D5F" w:rsidRPr="00921C79" w:rsidRDefault="00011D5F">
      <w:pPr>
        <w:spacing w:line="256" w:lineRule="auto"/>
        <w:jc w:val="both"/>
        <w:rPr>
          <w:rFonts w:ascii="Book Antiqua" w:eastAsia="Arial" w:hAnsi="Book Antiqua" w:cs="Arial"/>
          <w:sz w:val="22"/>
          <w:szCs w:val="22"/>
        </w:rPr>
      </w:pPr>
    </w:p>
    <w:p w:rsidR="00011D5F" w:rsidRPr="00921C79" w:rsidRDefault="00967FDC">
      <w:pPr>
        <w:spacing w:line="256" w:lineRule="auto"/>
        <w:jc w:val="both"/>
        <w:rPr>
          <w:rFonts w:ascii="Book Antiqua" w:eastAsia="Arial" w:hAnsi="Book Antiqua" w:cs="Arial"/>
          <w:sz w:val="22"/>
          <w:szCs w:val="22"/>
        </w:rPr>
      </w:pPr>
      <w:r w:rsidRPr="00921C79">
        <w:rPr>
          <w:rFonts w:ascii="Book Antiqua" w:eastAsia="Arial" w:hAnsi="Book Antiqua" w:cs="Arial"/>
          <w:sz w:val="22"/>
          <w:szCs w:val="22"/>
        </w:rPr>
        <w:t>Se considera que el presente Proyecto de Acto Legislativo no implica impacto fiscal pues no implica la ordenación de gastos ni la generación de beneficios tributarios.</w:t>
      </w:r>
    </w:p>
    <w:p w:rsidR="00011D5F" w:rsidRPr="00921C79" w:rsidRDefault="00011D5F">
      <w:pPr>
        <w:rPr>
          <w:rFonts w:ascii="Book Antiqua" w:eastAsia="Arial" w:hAnsi="Book Antiqua" w:cs="Arial"/>
          <w:sz w:val="22"/>
          <w:szCs w:val="22"/>
        </w:rPr>
      </w:pPr>
      <w:bookmarkStart w:id="7" w:name="_heading=h.xy30y76b4jbp" w:colFirst="0" w:colLast="0"/>
      <w:bookmarkEnd w:id="7"/>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Los insumos anteriormente expuestos, han permitido revisar y ajustar la propuesta de Acto Legislativo de la siguiente manera:</w:t>
      </w:r>
    </w:p>
    <w:p w:rsidR="00011D5F" w:rsidRPr="00921C79" w:rsidRDefault="00011D5F">
      <w:pPr>
        <w:jc w:val="both"/>
        <w:rPr>
          <w:rFonts w:ascii="Book Antiqua" w:eastAsia="Arial" w:hAnsi="Book Antiqua" w:cs="Arial"/>
          <w:sz w:val="22"/>
          <w:szCs w:val="22"/>
        </w:rPr>
      </w:pPr>
    </w:p>
    <w:p w:rsidR="00011D5F" w:rsidRPr="00921C79" w:rsidRDefault="00967FDC">
      <w:pPr>
        <w:pStyle w:val="Ttulo1"/>
        <w:numPr>
          <w:ilvl w:val="0"/>
          <w:numId w:val="1"/>
        </w:numPr>
        <w:spacing w:before="0" w:after="0" w:line="240" w:lineRule="auto"/>
        <w:rPr>
          <w:rFonts w:ascii="Book Antiqua" w:hAnsi="Book Antiqua"/>
        </w:rPr>
      </w:pPr>
      <w:bookmarkStart w:id="8" w:name="_heading=h.gly2vhlp14kr" w:colFirst="0" w:colLast="0"/>
      <w:bookmarkEnd w:id="8"/>
      <w:r w:rsidRPr="00921C79">
        <w:rPr>
          <w:rFonts w:ascii="Book Antiqua" w:hAnsi="Book Antiqua"/>
          <w:u w:val="single"/>
        </w:rPr>
        <w:t>PLIEGO DE MODIFICACIONES</w:t>
      </w:r>
    </w:p>
    <w:p w:rsidR="00011D5F" w:rsidRPr="00921C79" w:rsidRDefault="00011D5F">
      <w:pPr>
        <w:pBdr>
          <w:top w:val="nil"/>
          <w:left w:val="nil"/>
          <w:bottom w:val="nil"/>
          <w:right w:val="nil"/>
          <w:between w:val="nil"/>
        </w:pBdr>
        <w:ind w:right="115"/>
        <w:rPr>
          <w:rFonts w:ascii="Book Antiqua" w:eastAsia="Arial" w:hAnsi="Book Antiqua" w:cs="Arial"/>
          <w:b/>
          <w:sz w:val="22"/>
          <w:szCs w:val="22"/>
        </w:rPr>
      </w:pPr>
    </w:p>
    <w:p w:rsidR="00011D5F" w:rsidRPr="00921C79" w:rsidRDefault="00967FDC">
      <w:pPr>
        <w:pBdr>
          <w:top w:val="nil"/>
          <w:left w:val="nil"/>
          <w:bottom w:val="nil"/>
          <w:right w:val="nil"/>
          <w:between w:val="nil"/>
        </w:pBdr>
        <w:ind w:right="115"/>
        <w:jc w:val="both"/>
        <w:rPr>
          <w:rFonts w:ascii="Book Antiqua" w:eastAsia="Arial" w:hAnsi="Book Antiqua" w:cs="Arial"/>
          <w:sz w:val="22"/>
          <w:szCs w:val="22"/>
        </w:rPr>
      </w:pPr>
      <w:r w:rsidRPr="00921C79">
        <w:rPr>
          <w:rFonts w:ascii="Book Antiqua" w:eastAsia="Arial" w:hAnsi="Book Antiqua" w:cs="Arial"/>
          <w:sz w:val="22"/>
          <w:szCs w:val="22"/>
        </w:rPr>
        <w:t>En nuestra condición de ponentes, ponemos a consideración de la corporación el siguiente pliego de modificaciones:</w:t>
      </w:r>
    </w:p>
    <w:p w:rsidR="00011D5F" w:rsidRPr="00921C79" w:rsidRDefault="00011D5F">
      <w:pPr>
        <w:ind w:right="115"/>
        <w:jc w:val="both"/>
        <w:rPr>
          <w:rFonts w:ascii="Book Antiqua" w:eastAsia="Arial" w:hAnsi="Book Antiqua" w:cs="Arial"/>
          <w:b/>
          <w:sz w:val="22"/>
          <w:szCs w:val="22"/>
        </w:rPr>
      </w:pPr>
    </w:p>
    <w:p w:rsidR="00011D5F" w:rsidRPr="00921C79" w:rsidRDefault="00011D5F">
      <w:pPr>
        <w:ind w:right="115"/>
        <w:jc w:val="both"/>
        <w:rPr>
          <w:rFonts w:ascii="Book Antiqua" w:eastAsia="Arial" w:hAnsi="Book Antiqua" w:cs="Arial"/>
          <w:b/>
          <w:sz w:val="22"/>
          <w:szCs w:val="22"/>
        </w:rPr>
      </w:pPr>
    </w:p>
    <w:tbl>
      <w:tblPr>
        <w:tblStyle w:val="af9"/>
        <w:tblW w:w="8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
        <w:gridCol w:w="3033"/>
        <w:gridCol w:w="3119"/>
        <w:gridCol w:w="2126"/>
      </w:tblGrid>
      <w:tr w:rsidR="00011D5F" w:rsidRPr="00921C79">
        <w:trPr>
          <w:tblHeader/>
        </w:trPr>
        <w:tc>
          <w:tcPr>
            <w:tcW w:w="506" w:type="dxa"/>
            <w:vAlign w:val="center"/>
          </w:tcPr>
          <w:p w:rsidR="00011D5F" w:rsidRPr="00921C79" w:rsidRDefault="00967FDC">
            <w:pPr>
              <w:jc w:val="center"/>
              <w:rPr>
                <w:rFonts w:ascii="Book Antiqua" w:eastAsia="Arial" w:hAnsi="Book Antiqua" w:cs="Arial"/>
                <w:b/>
                <w:sz w:val="22"/>
                <w:szCs w:val="22"/>
              </w:rPr>
            </w:pPr>
            <w:r w:rsidRPr="00921C79">
              <w:rPr>
                <w:rFonts w:ascii="Book Antiqua" w:eastAsia="Arial" w:hAnsi="Book Antiqua" w:cs="Arial"/>
                <w:b/>
                <w:sz w:val="22"/>
                <w:szCs w:val="22"/>
              </w:rPr>
              <w:t>N°</w:t>
            </w:r>
          </w:p>
        </w:tc>
        <w:tc>
          <w:tcPr>
            <w:tcW w:w="3033" w:type="dxa"/>
          </w:tcPr>
          <w:p w:rsidR="00011D5F" w:rsidRPr="00921C79" w:rsidRDefault="00967FDC">
            <w:pPr>
              <w:jc w:val="center"/>
              <w:rPr>
                <w:rFonts w:ascii="Book Antiqua" w:eastAsia="Arial" w:hAnsi="Book Antiqua" w:cs="Arial"/>
                <w:b/>
                <w:sz w:val="22"/>
                <w:szCs w:val="22"/>
              </w:rPr>
            </w:pPr>
            <w:r w:rsidRPr="00921C79">
              <w:rPr>
                <w:rFonts w:ascii="Book Antiqua" w:eastAsia="Arial" w:hAnsi="Book Antiqua" w:cs="Arial"/>
                <w:b/>
                <w:sz w:val="22"/>
                <w:szCs w:val="22"/>
              </w:rPr>
              <w:t>Texto Inicial Radicado</w:t>
            </w:r>
          </w:p>
        </w:tc>
        <w:tc>
          <w:tcPr>
            <w:tcW w:w="3119" w:type="dxa"/>
          </w:tcPr>
          <w:p w:rsidR="00011D5F" w:rsidRPr="00921C79" w:rsidRDefault="00967FDC">
            <w:pPr>
              <w:jc w:val="center"/>
              <w:rPr>
                <w:rFonts w:ascii="Book Antiqua" w:eastAsia="Arial" w:hAnsi="Book Antiqua" w:cs="Arial"/>
                <w:b/>
                <w:sz w:val="22"/>
                <w:szCs w:val="22"/>
              </w:rPr>
            </w:pPr>
            <w:r w:rsidRPr="00921C79">
              <w:rPr>
                <w:rFonts w:ascii="Book Antiqua" w:eastAsia="Arial" w:hAnsi="Book Antiqua" w:cs="Arial"/>
                <w:b/>
                <w:sz w:val="22"/>
                <w:szCs w:val="22"/>
              </w:rPr>
              <w:t>Texto Propuesto Primer Debate</w:t>
            </w:r>
          </w:p>
        </w:tc>
        <w:tc>
          <w:tcPr>
            <w:tcW w:w="2126" w:type="dxa"/>
          </w:tcPr>
          <w:p w:rsidR="00011D5F" w:rsidRPr="00921C79" w:rsidRDefault="00967FDC">
            <w:pPr>
              <w:jc w:val="center"/>
              <w:rPr>
                <w:rFonts w:ascii="Book Antiqua" w:eastAsia="Arial" w:hAnsi="Book Antiqua" w:cs="Arial"/>
                <w:b/>
                <w:sz w:val="22"/>
                <w:szCs w:val="22"/>
              </w:rPr>
            </w:pPr>
            <w:r w:rsidRPr="00921C79">
              <w:rPr>
                <w:rFonts w:ascii="Book Antiqua" w:eastAsia="Arial" w:hAnsi="Book Antiqua" w:cs="Arial"/>
                <w:b/>
                <w:sz w:val="22"/>
                <w:szCs w:val="22"/>
              </w:rPr>
              <w:t>Justificación</w:t>
            </w:r>
          </w:p>
        </w:tc>
      </w:tr>
      <w:tr w:rsidR="00011D5F" w:rsidRPr="00921C79">
        <w:trPr>
          <w:trHeight w:val="1285"/>
        </w:trPr>
        <w:tc>
          <w:tcPr>
            <w:tcW w:w="506" w:type="dxa"/>
            <w:vAlign w:val="center"/>
          </w:tcPr>
          <w:p w:rsidR="00011D5F" w:rsidRPr="00921C79" w:rsidRDefault="00011D5F">
            <w:pPr>
              <w:jc w:val="center"/>
              <w:rPr>
                <w:rFonts w:ascii="Book Antiqua" w:eastAsia="Arial" w:hAnsi="Book Antiqua" w:cs="Arial"/>
                <w:b/>
                <w:sz w:val="22"/>
                <w:szCs w:val="22"/>
              </w:rPr>
            </w:pPr>
          </w:p>
        </w:tc>
        <w:tc>
          <w:tcPr>
            <w:tcW w:w="3033" w:type="dxa"/>
            <w:vAlign w:val="center"/>
          </w:tcPr>
          <w:p w:rsidR="00011D5F" w:rsidRPr="00921C79" w:rsidRDefault="00967FDC">
            <w:pPr>
              <w:spacing w:after="160"/>
              <w:jc w:val="center"/>
              <w:rPr>
                <w:rFonts w:ascii="Book Antiqua" w:eastAsia="Arial" w:hAnsi="Book Antiqua" w:cs="Arial"/>
                <w:b/>
                <w:sz w:val="22"/>
                <w:szCs w:val="22"/>
              </w:rPr>
            </w:pPr>
            <w:r w:rsidRPr="00921C79">
              <w:rPr>
                <w:rFonts w:ascii="Book Antiqua" w:eastAsia="Arial" w:hAnsi="Book Antiqua" w:cs="Arial"/>
                <w:b/>
                <w:sz w:val="22"/>
                <w:szCs w:val="22"/>
              </w:rPr>
              <w:t>“POR MEDIO DEL CUAL SE MODIFICA EL ARTÍCULO 107 DE LA CONSTITUCIÓN POLÍTICA DE COLOMBIA”</w:t>
            </w:r>
          </w:p>
        </w:tc>
        <w:tc>
          <w:tcPr>
            <w:tcW w:w="3119" w:type="dxa"/>
            <w:vAlign w:val="center"/>
          </w:tcPr>
          <w:p w:rsidR="00011D5F" w:rsidRPr="00921C79" w:rsidRDefault="00921C79">
            <w:pPr>
              <w:jc w:val="center"/>
              <w:rPr>
                <w:rFonts w:ascii="Book Antiqua" w:eastAsia="Arial" w:hAnsi="Book Antiqua" w:cs="Arial"/>
                <w:b/>
                <w:sz w:val="22"/>
                <w:szCs w:val="22"/>
              </w:rPr>
            </w:pPr>
            <w:r w:rsidRPr="00921C79">
              <w:rPr>
                <w:rFonts w:ascii="Book Antiqua" w:eastAsia="Arial" w:hAnsi="Book Antiqua" w:cs="Arial"/>
                <w:b/>
                <w:sz w:val="22"/>
                <w:szCs w:val="22"/>
              </w:rPr>
              <w:t>“POR MEDIO DEL CUAL SE ADICIONA UN PARÁGRAFO AL ARTÍCULO 107 DE LA CONSTITUCIÓN POLÍTICA DE COLOMBIA”</w:t>
            </w:r>
          </w:p>
        </w:tc>
        <w:tc>
          <w:tcPr>
            <w:tcW w:w="2126" w:type="dxa"/>
            <w:vAlign w:val="center"/>
          </w:tcPr>
          <w:p w:rsidR="00011D5F" w:rsidRPr="00921C79" w:rsidRDefault="00921C79" w:rsidP="00921C79">
            <w:pPr>
              <w:jc w:val="center"/>
              <w:rPr>
                <w:rFonts w:ascii="Book Antiqua" w:eastAsia="Arial" w:hAnsi="Book Antiqua" w:cs="Arial"/>
                <w:sz w:val="22"/>
                <w:szCs w:val="22"/>
              </w:rPr>
            </w:pPr>
            <w:r>
              <w:rPr>
                <w:rFonts w:ascii="Book Antiqua" w:eastAsia="Arial" w:hAnsi="Book Antiqua" w:cs="Arial"/>
                <w:sz w:val="22"/>
                <w:szCs w:val="22"/>
              </w:rPr>
              <w:t xml:space="preserve">Se sustituye el título del proyecto teniendo en cuenta que no se hace una modificación al texto del artículo 107 de la </w:t>
            </w:r>
            <w:r>
              <w:rPr>
                <w:rFonts w:ascii="Book Antiqua" w:eastAsia="Arial" w:hAnsi="Book Antiqua" w:cs="Arial"/>
                <w:sz w:val="22"/>
                <w:szCs w:val="22"/>
              </w:rPr>
              <w:lastRenderedPageBreak/>
              <w:t>Constitución Política, pues únicamente se adiciona un parágrafo</w:t>
            </w:r>
            <w:r w:rsidR="00187966">
              <w:rPr>
                <w:rFonts w:ascii="Book Antiqua" w:eastAsia="Arial" w:hAnsi="Book Antiqua" w:cs="Arial"/>
                <w:sz w:val="22"/>
                <w:szCs w:val="22"/>
              </w:rPr>
              <w:t>.</w:t>
            </w:r>
          </w:p>
        </w:tc>
      </w:tr>
      <w:tr w:rsidR="00011D5F" w:rsidRPr="00921C79">
        <w:trPr>
          <w:trHeight w:val="697"/>
        </w:trPr>
        <w:tc>
          <w:tcPr>
            <w:tcW w:w="506" w:type="dxa"/>
            <w:vAlign w:val="center"/>
          </w:tcPr>
          <w:p w:rsidR="00011D5F" w:rsidRPr="00921C79" w:rsidRDefault="00011D5F">
            <w:pPr>
              <w:jc w:val="center"/>
              <w:rPr>
                <w:rFonts w:ascii="Book Antiqua" w:eastAsia="Arial" w:hAnsi="Book Antiqua" w:cs="Arial"/>
                <w:b/>
                <w:sz w:val="22"/>
                <w:szCs w:val="22"/>
              </w:rPr>
            </w:pPr>
          </w:p>
        </w:tc>
        <w:tc>
          <w:tcPr>
            <w:tcW w:w="3033" w:type="dxa"/>
            <w:vAlign w:val="center"/>
          </w:tcPr>
          <w:p w:rsidR="00011D5F" w:rsidRPr="00921C79" w:rsidRDefault="00011D5F">
            <w:pPr>
              <w:jc w:val="center"/>
              <w:rPr>
                <w:rFonts w:ascii="Book Antiqua" w:eastAsia="Arial" w:hAnsi="Book Antiqua" w:cs="Arial"/>
                <w:sz w:val="22"/>
                <w:szCs w:val="22"/>
              </w:rPr>
            </w:pPr>
          </w:p>
        </w:tc>
        <w:tc>
          <w:tcPr>
            <w:tcW w:w="3119" w:type="dxa"/>
            <w:vAlign w:val="center"/>
          </w:tcPr>
          <w:p w:rsidR="00011D5F" w:rsidRPr="00921C79" w:rsidRDefault="00967FDC">
            <w:pPr>
              <w:jc w:val="center"/>
              <w:rPr>
                <w:rFonts w:ascii="Book Antiqua" w:eastAsia="Arial" w:hAnsi="Book Antiqua" w:cs="Arial"/>
                <w:sz w:val="22"/>
                <w:szCs w:val="22"/>
                <w:u w:val="single"/>
              </w:rPr>
            </w:pPr>
            <w:r w:rsidRPr="00921C79">
              <w:rPr>
                <w:rFonts w:ascii="Book Antiqua" w:eastAsia="Arial" w:hAnsi="Book Antiqua" w:cs="Arial"/>
                <w:b/>
                <w:sz w:val="22"/>
                <w:szCs w:val="22"/>
                <w:u w:val="single"/>
              </w:rPr>
              <w:t>EL CONGRESO DE LA REPÚBLICA DE COLOMBIA</w:t>
            </w:r>
          </w:p>
        </w:tc>
        <w:tc>
          <w:tcPr>
            <w:tcW w:w="2126" w:type="dxa"/>
            <w:vAlign w:val="center"/>
          </w:tcPr>
          <w:p w:rsidR="00011D5F" w:rsidRPr="00921C79" w:rsidRDefault="00967FDC">
            <w:pPr>
              <w:jc w:val="center"/>
              <w:rPr>
                <w:rFonts w:ascii="Book Antiqua" w:eastAsia="Arial" w:hAnsi="Book Antiqua" w:cs="Arial"/>
                <w:sz w:val="22"/>
                <w:szCs w:val="22"/>
              </w:rPr>
            </w:pPr>
            <w:r w:rsidRPr="00921C79">
              <w:rPr>
                <w:rFonts w:ascii="Book Antiqua" w:eastAsia="Arial" w:hAnsi="Book Antiqua" w:cs="Arial"/>
                <w:sz w:val="22"/>
                <w:szCs w:val="22"/>
              </w:rPr>
              <w:t>Se adiciona encabezado.</w:t>
            </w:r>
          </w:p>
        </w:tc>
      </w:tr>
      <w:tr w:rsidR="00011D5F" w:rsidRPr="00921C79">
        <w:trPr>
          <w:trHeight w:val="423"/>
        </w:trPr>
        <w:tc>
          <w:tcPr>
            <w:tcW w:w="506" w:type="dxa"/>
            <w:vAlign w:val="center"/>
          </w:tcPr>
          <w:p w:rsidR="00011D5F" w:rsidRPr="00921C79" w:rsidRDefault="00011D5F">
            <w:pPr>
              <w:jc w:val="center"/>
              <w:rPr>
                <w:rFonts w:ascii="Book Antiqua" w:eastAsia="Arial" w:hAnsi="Book Antiqua" w:cs="Arial"/>
                <w:b/>
                <w:sz w:val="22"/>
                <w:szCs w:val="22"/>
              </w:rPr>
            </w:pPr>
          </w:p>
        </w:tc>
        <w:tc>
          <w:tcPr>
            <w:tcW w:w="3033" w:type="dxa"/>
            <w:vAlign w:val="center"/>
          </w:tcPr>
          <w:p w:rsidR="00011D5F" w:rsidRPr="00921C79" w:rsidRDefault="00011D5F">
            <w:pPr>
              <w:jc w:val="center"/>
              <w:rPr>
                <w:rFonts w:ascii="Book Antiqua" w:eastAsia="Arial" w:hAnsi="Book Antiqua" w:cs="Arial"/>
                <w:b/>
                <w:sz w:val="22"/>
                <w:szCs w:val="22"/>
              </w:rPr>
            </w:pPr>
          </w:p>
        </w:tc>
        <w:tc>
          <w:tcPr>
            <w:tcW w:w="3119" w:type="dxa"/>
            <w:vAlign w:val="center"/>
          </w:tcPr>
          <w:p w:rsidR="00011D5F" w:rsidRPr="00921C79" w:rsidRDefault="00967FDC">
            <w:pPr>
              <w:jc w:val="center"/>
              <w:rPr>
                <w:rFonts w:ascii="Book Antiqua" w:eastAsia="Arial" w:hAnsi="Book Antiqua" w:cs="Arial"/>
                <w:sz w:val="22"/>
                <w:szCs w:val="22"/>
                <w:u w:val="single"/>
              </w:rPr>
            </w:pPr>
            <w:r w:rsidRPr="00921C79">
              <w:rPr>
                <w:rFonts w:ascii="Book Antiqua" w:eastAsia="Arial" w:hAnsi="Book Antiqua" w:cs="Arial"/>
                <w:b/>
                <w:sz w:val="22"/>
                <w:szCs w:val="22"/>
                <w:u w:val="single"/>
              </w:rPr>
              <w:t>DECRETA:</w:t>
            </w:r>
          </w:p>
        </w:tc>
        <w:tc>
          <w:tcPr>
            <w:tcW w:w="2126" w:type="dxa"/>
            <w:vAlign w:val="center"/>
          </w:tcPr>
          <w:p w:rsidR="00011D5F" w:rsidRPr="00921C79" w:rsidRDefault="00967FDC">
            <w:pPr>
              <w:jc w:val="center"/>
              <w:rPr>
                <w:rFonts w:ascii="Book Antiqua" w:eastAsia="Arial" w:hAnsi="Book Antiqua" w:cs="Arial"/>
                <w:sz w:val="22"/>
                <w:szCs w:val="22"/>
              </w:rPr>
            </w:pPr>
            <w:r w:rsidRPr="00921C79">
              <w:rPr>
                <w:rFonts w:ascii="Book Antiqua" w:eastAsia="Arial" w:hAnsi="Book Antiqua" w:cs="Arial"/>
                <w:sz w:val="22"/>
                <w:szCs w:val="22"/>
              </w:rPr>
              <w:t>Se adiciona encabezado.</w:t>
            </w:r>
          </w:p>
        </w:tc>
      </w:tr>
      <w:tr w:rsidR="00011D5F" w:rsidRPr="00921C79">
        <w:tc>
          <w:tcPr>
            <w:tcW w:w="506" w:type="dxa"/>
            <w:vAlign w:val="center"/>
          </w:tcPr>
          <w:p w:rsidR="00011D5F" w:rsidRPr="00921C79" w:rsidRDefault="00967FDC">
            <w:pPr>
              <w:jc w:val="center"/>
              <w:rPr>
                <w:rFonts w:ascii="Book Antiqua" w:eastAsia="Arial" w:hAnsi="Book Antiqua" w:cs="Arial"/>
                <w:b/>
                <w:sz w:val="22"/>
                <w:szCs w:val="22"/>
              </w:rPr>
            </w:pPr>
            <w:r w:rsidRPr="00921C79">
              <w:rPr>
                <w:rFonts w:ascii="Book Antiqua" w:eastAsia="Arial" w:hAnsi="Book Antiqua" w:cs="Arial"/>
                <w:b/>
                <w:sz w:val="22"/>
                <w:szCs w:val="22"/>
              </w:rPr>
              <w:t>1</w:t>
            </w:r>
          </w:p>
        </w:tc>
        <w:tc>
          <w:tcPr>
            <w:tcW w:w="3033" w:type="dxa"/>
          </w:tcPr>
          <w:p w:rsidR="00011D5F" w:rsidRPr="00921C79" w:rsidRDefault="00967FDC">
            <w:pPr>
              <w:pBdr>
                <w:top w:val="nil"/>
                <w:left w:val="nil"/>
                <w:bottom w:val="nil"/>
                <w:right w:val="nil"/>
                <w:between w:val="nil"/>
              </w:pBdr>
              <w:spacing w:after="160"/>
              <w:jc w:val="both"/>
              <w:rPr>
                <w:rFonts w:ascii="Book Antiqua" w:eastAsia="Arial" w:hAnsi="Book Antiqua" w:cs="Arial"/>
                <w:color w:val="000000"/>
                <w:sz w:val="22"/>
                <w:szCs w:val="22"/>
              </w:rPr>
            </w:pPr>
            <w:r w:rsidRPr="00921C79">
              <w:rPr>
                <w:rFonts w:ascii="Book Antiqua" w:eastAsia="Arial" w:hAnsi="Book Antiqua" w:cs="Arial"/>
                <w:b/>
                <w:color w:val="000000"/>
                <w:sz w:val="22"/>
                <w:szCs w:val="22"/>
              </w:rPr>
              <w:t>ARTÍCULO 1.</w:t>
            </w:r>
            <w:r w:rsidRPr="00921C79">
              <w:rPr>
                <w:rFonts w:ascii="Book Antiqua" w:eastAsia="Arial" w:hAnsi="Book Antiqua" w:cs="Arial"/>
                <w:color w:val="000000"/>
                <w:sz w:val="22"/>
                <w:szCs w:val="22"/>
              </w:rPr>
              <w:t xml:space="preserve"> Adiciónese el siguiente parágrafo al Art. 107 de la Constitución Nacional.</w:t>
            </w:r>
          </w:p>
          <w:p w:rsidR="00011D5F" w:rsidRPr="00921C79" w:rsidRDefault="00967FDC">
            <w:pPr>
              <w:pBdr>
                <w:top w:val="nil"/>
                <w:left w:val="nil"/>
                <w:bottom w:val="nil"/>
                <w:right w:val="nil"/>
                <w:between w:val="nil"/>
              </w:pBdr>
              <w:spacing w:after="160"/>
              <w:jc w:val="both"/>
              <w:rPr>
                <w:rFonts w:ascii="Book Antiqua" w:eastAsia="Arial" w:hAnsi="Book Antiqua" w:cs="Arial"/>
                <w:color w:val="000000"/>
                <w:sz w:val="22"/>
                <w:szCs w:val="22"/>
              </w:rPr>
            </w:pPr>
            <w:r w:rsidRPr="00921C79">
              <w:rPr>
                <w:rFonts w:ascii="Book Antiqua" w:eastAsia="Arial" w:hAnsi="Book Antiqua" w:cs="Arial"/>
                <w:i/>
                <w:color w:val="000000"/>
                <w:sz w:val="22"/>
                <w:szCs w:val="22"/>
              </w:rPr>
              <w:t>PARÁGRAFO TRANSITORIO. Sin perjuicio de lo dispuesto por el artículo 134, dentro de los cuatro (4) meses siguientes a la entrada en vigencia del presente Acto Legislativo, autorícese, por una sola vez, a los miembros de los Cuerpos Colegiados de elección popular, a renunciar al partido o movimiento político que los avaló sin renunciar a la curul o incurrir en doble militancia, para que posteriormente puedan inscribirse en un partido o movimiento político o en un grupo significativo de ciudadanos.</w:t>
            </w:r>
          </w:p>
        </w:tc>
        <w:tc>
          <w:tcPr>
            <w:tcW w:w="3119" w:type="dxa"/>
            <w:vAlign w:val="center"/>
          </w:tcPr>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b/>
                <w:color w:val="000000"/>
                <w:sz w:val="22"/>
                <w:szCs w:val="22"/>
              </w:rPr>
              <w:t>ARTÍCULO 1.</w:t>
            </w:r>
            <w:r w:rsidRPr="00921C79">
              <w:rPr>
                <w:rFonts w:ascii="Book Antiqua" w:eastAsia="Arial" w:hAnsi="Book Antiqua" w:cs="Arial"/>
                <w:sz w:val="22"/>
                <w:szCs w:val="22"/>
              </w:rPr>
              <w:t xml:space="preserve"> </w:t>
            </w:r>
            <w:r w:rsidRPr="00921C79">
              <w:rPr>
                <w:rFonts w:ascii="Book Antiqua" w:eastAsia="Arial" w:hAnsi="Book Antiqua" w:cs="Arial"/>
                <w:color w:val="000000"/>
                <w:sz w:val="22"/>
                <w:szCs w:val="22"/>
              </w:rPr>
              <w:t>Adiciónese el siguiente parágrafo al Art. 107 de la Constitución Nacional</w:t>
            </w:r>
            <w:r w:rsidRPr="00921C79">
              <w:rPr>
                <w:rFonts w:ascii="Book Antiqua" w:eastAsia="Arial" w:hAnsi="Book Antiqua" w:cs="Arial"/>
                <w:sz w:val="22"/>
                <w:szCs w:val="22"/>
              </w:rPr>
              <w:t xml:space="preserve"> </w:t>
            </w:r>
          </w:p>
          <w:p w:rsidR="00011D5F" w:rsidRPr="00921C79" w:rsidRDefault="00011D5F">
            <w:pPr>
              <w:jc w:val="both"/>
              <w:rPr>
                <w:rFonts w:ascii="Book Antiqua" w:eastAsia="Arial" w:hAnsi="Book Antiqua" w:cs="Arial"/>
                <w:sz w:val="22"/>
                <w:szCs w:val="22"/>
              </w:rPr>
            </w:pPr>
          </w:p>
          <w:p w:rsidR="00011D5F" w:rsidRPr="00921C79" w:rsidRDefault="00912853" w:rsidP="00912853">
            <w:pPr>
              <w:jc w:val="both"/>
              <w:rPr>
                <w:rFonts w:ascii="Book Antiqua" w:eastAsia="Arial" w:hAnsi="Book Antiqua" w:cs="Arial"/>
                <w:sz w:val="22"/>
                <w:szCs w:val="22"/>
              </w:rPr>
            </w:pPr>
            <w:r>
              <w:rPr>
                <w:rFonts w:ascii="Book Antiqua" w:eastAsia="Arial" w:hAnsi="Book Antiqua" w:cs="Arial"/>
                <w:i/>
                <w:color w:val="000000"/>
                <w:sz w:val="22"/>
                <w:szCs w:val="22"/>
              </w:rPr>
              <w:t xml:space="preserve">PARÁGRAFO TRANSITORIO. </w:t>
            </w:r>
            <w:r w:rsidRPr="00921C79">
              <w:rPr>
                <w:rFonts w:ascii="Book Antiqua" w:eastAsia="Arial" w:hAnsi="Book Antiqua" w:cs="Arial"/>
                <w:sz w:val="22"/>
                <w:szCs w:val="22"/>
              </w:rPr>
              <w:t>Autorícese por una sola vez hasta el 31 de diciembre de 2027 a los miembros de Cuerpos Colegiados de elección popular, a renunciar al partido o movimiento político que los avaló sin tener que renunciar a la curul que ostentan, e inscribirse para aspirar a cualquier cargo de elección popular por otro partido político, movimiento político o grupo significativo de ciudadanos, sin incurrir en doble militancia, inhabilidad o incompatibilidad alguna.</w:t>
            </w:r>
          </w:p>
        </w:tc>
        <w:tc>
          <w:tcPr>
            <w:tcW w:w="2126" w:type="dxa"/>
            <w:vAlign w:val="center"/>
          </w:tcPr>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Se hace la presente modificación teniendo en cuenta que la presente ley deberá ser aplicable a todos los miembros de cuerpos colegiados. En tal sentido, se hace extensivo para elecciones futuras.</w:t>
            </w:r>
          </w:p>
        </w:tc>
      </w:tr>
      <w:tr w:rsidR="00011D5F" w:rsidRPr="00921C79">
        <w:tc>
          <w:tcPr>
            <w:tcW w:w="506" w:type="dxa"/>
            <w:vAlign w:val="center"/>
          </w:tcPr>
          <w:p w:rsidR="00011D5F" w:rsidRPr="00921C79" w:rsidRDefault="00967FDC">
            <w:pPr>
              <w:jc w:val="center"/>
              <w:rPr>
                <w:rFonts w:ascii="Book Antiqua" w:eastAsia="Arial" w:hAnsi="Book Antiqua" w:cs="Arial"/>
                <w:b/>
                <w:sz w:val="22"/>
                <w:szCs w:val="22"/>
              </w:rPr>
            </w:pPr>
            <w:r w:rsidRPr="00921C79">
              <w:rPr>
                <w:rFonts w:ascii="Book Antiqua" w:eastAsia="Arial" w:hAnsi="Book Antiqua" w:cs="Arial"/>
                <w:b/>
                <w:sz w:val="22"/>
                <w:szCs w:val="22"/>
              </w:rPr>
              <w:t>2</w:t>
            </w:r>
          </w:p>
        </w:tc>
        <w:tc>
          <w:tcPr>
            <w:tcW w:w="3033" w:type="dxa"/>
          </w:tcPr>
          <w:p w:rsidR="00011D5F" w:rsidRPr="00921C79" w:rsidRDefault="00011D5F">
            <w:pPr>
              <w:jc w:val="both"/>
              <w:rPr>
                <w:rFonts w:ascii="Book Antiqua" w:eastAsia="Arial" w:hAnsi="Book Antiqua" w:cs="Arial"/>
                <w:sz w:val="22"/>
                <w:szCs w:val="22"/>
              </w:rPr>
            </w:pPr>
          </w:p>
        </w:tc>
        <w:tc>
          <w:tcPr>
            <w:tcW w:w="3119" w:type="dxa"/>
          </w:tcPr>
          <w:p w:rsidR="00011D5F" w:rsidRPr="00921C79" w:rsidRDefault="00967FDC">
            <w:pPr>
              <w:jc w:val="both"/>
              <w:rPr>
                <w:rFonts w:ascii="Book Antiqua" w:eastAsia="Arial" w:hAnsi="Book Antiqua" w:cs="Arial"/>
                <w:b/>
                <w:sz w:val="22"/>
                <w:szCs w:val="22"/>
                <w:u w:val="single"/>
              </w:rPr>
            </w:pPr>
            <w:r w:rsidRPr="00921C79">
              <w:rPr>
                <w:rFonts w:ascii="Book Antiqua" w:eastAsia="Arial" w:hAnsi="Book Antiqua" w:cs="Arial"/>
                <w:b/>
                <w:sz w:val="22"/>
                <w:szCs w:val="22"/>
                <w:u w:val="single"/>
              </w:rPr>
              <w:t>ARTÍCULO 2. Vigencia. El presente Acto Legislativo rige a partir de su promulgación y deroga todas las disposiciones que le sean contrarias.</w:t>
            </w:r>
          </w:p>
        </w:tc>
        <w:tc>
          <w:tcPr>
            <w:tcW w:w="2126" w:type="dxa"/>
          </w:tcPr>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Se adiciona artículo de vigencia derogatorias.</w:t>
            </w:r>
          </w:p>
        </w:tc>
      </w:tr>
    </w:tbl>
    <w:p w:rsidR="00011D5F" w:rsidRDefault="00011D5F">
      <w:pPr>
        <w:pBdr>
          <w:top w:val="nil"/>
          <w:left w:val="nil"/>
          <w:bottom w:val="nil"/>
          <w:right w:val="nil"/>
          <w:between w:val="nil"/>
        </w:pBdr>
        <w:ind w:left="520" w:right="115"/>
        <w:rPr>
          <w:rFonts w:ascii="Book Antiqua" w:eastAsia="Arial" w:hAnsi="Book Antiqua" w:cs="Arial"/>
          <w:color w:val="000000"/>
          <w:sz w:val="22"/>
          <w:szCs w:val="22"/>
        </w:rPr>
      </w:pPr>
    </w:p>
    <w:p w:rsidR="00187966" w:rsidRDefault="00187966">
      <w:pPr>
        <w:pBdr>
          <w:top w:val="nil"/>
          <w:left w:val="nil"/>
          <w:bottom w:val="nil"/>
          <w:right w:val="nil"/>
          <w:between w:val="nil"/>
        </w:pBdr>
        <w:ind w:left="520" w:right="115"/>
        <w:rPr>
          <w:rFonts w:ascii="Book Antiqua" w:eastAsia="Arial" w:hAnsi="Book Antiqua" w:cs="Arial"/>
          <w:color w:val="000000"/>
          <w:sz w:val="22"/>
          <w:szCs w:val="22"/>
        </w:rPr>
      </w:pPr>
    </w:p>
    <w:p w:rsidR="00187966" w:rsidRPr="00921C79" w:rsidRDefault="00187966">
      <w:pPr>
        <w:pBdr>
          <w:top w:val="nil"/>
          <w:left w:val="nil"/>
          <w:bottom w:val="nil"/>
          <w:right w:val="nil"/>
          <w:between w:val="nil"/>
        </w:pBdr>
        <w:ind w:left="520" w:right="115"/>
        <w:rPr>
          <w:rFonts w:ascii="Book Antiqua" w:eastAsia="Arial" w:hAnsi="Book Antiqua" w:cs="Arial"/>
          <w:color w:val="000000"/>
          <w:sz w:val="22"/>
          <w:szCs w:val="22"/>
        </w:rPr>
      </w:pPr>
    </w:p>
    <w:p w:rsidR="00011D5F" w:rsidRPr="00921C79" w:rsidRDefault="00011D5F">
      <w:pPr>
        <w:pBdr>
          <w:top w:val="nil"/>
          <w:left w:val="nil"/>
          <w:bottom w:val="nil"/>
          <w:right w:val="nil"/>
          <w:between w:val="nil"/>
        </w:pBdr>
        <w:ind w:left="520" w:right="115"/>
        <w:rPr>
          <w:rFonts w:ascii="Book Antiqua" w:eastAsia="Arial" w:hAnsi="Book Antiqua" w:cs="Arial"/>
          <w:color w:val="000000"/>
          <w:sz w:val="22"/>
          <w:szCs w:val="22"/>
        </w:rPr>
      </w:pPr>
    </w:p>
    <w:p w:rsidR="00011D5F" w:rsidRPr="00921C79" w:rsidRDefault="00967FDC">
      <w:pPr>
        <w:numPr>
          <w:ilvl w:val="0"/>
          <w:numId w:val="1"/>
        </w:numPr>
        <w:pBdr>
          <w:top w:val="nil"/>
          <w:left w:val="nil"/>
          <w:bottom w:val="nil"/>
          <w:right w:val="nil"/>
          <w:between w:val="nil"/>
        </w:pBdr>
        <w:ind w:right="115"/>
        <w:rPr>
          <w:rFonts w:ascii="Book Antiqua" w:eastAsia="Arial" w:hAnsi="Book Antiqua" w:cs="Arial"/>
          <w:color w:val="000000"/>
          <w:sz w:val="22"/>
          <w:szCs w:val="22"/>
        </w:rPr>
      </w:pPr>
      <w:r w:rsidRPr="00921C79">
        <w:rPr>
          <w:rFonts w:ascii="Book Antiqua" w:eastAsia="Arial" w:hAnsi="Book Antiqua" w:cs="Arial"/>
          <w:b/>
          <w:color w:val="000000"/>
          <w:sz w:val="22"/>
          <w:szCs w:val="22"/>
          <w:u w:val="single"/>
        </w:rPr>
        <w:lastRenderedPageBreak/>
        <w:t>CONFLICTO DE INTERÉS</w:t>
      </w:r>
    </w:p>
    <w:p w:rsidR="00011D5F" w:rsidRPr="00921C79" w:rsidRDefault="00967FDC">
      <w:pPr>
        <w:spacing w:before="240"/>
        <w:jc w:val="both"/>
        <w:rPr>
          <w:rFonts w:ascii="Book Antiqua" w:eastAsia="Arial" w:hAnsi="Book Antiqua" w:cs="Arial"/>
          <w:sz w:val="22"/>
          <w:szCs w:val="22"/>
        </w:rPr>
      </w:pPr>
      <w:r w:rsidRPr="00921C79">
        <w:rPr>
          <w:rFonts w:ascii="Book Antiqua" w:eastAsia="Arial" w:hAnsi="Book Antiqua" w:cs="Arial"/>
          <w:sz w:val="22"/>
          <w:szCs w:val="22"/>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11D5F" w:rsidRPr="00921C79" w:rsidRDefault="00967FDC">
      <w:pPr>
        <w:spacing w:before="240"/>
        <w:jc w:val="both"/>
        <w:rPr>
          <w:rFonts w:ascii="Book Antiqua" w:eastAsia="Arial" w:hAnsi="Book Antiqua" w:cs="Arial"/>
          <w:sz w:val="22"/>
          <w:szCs w:val="22"/>
        </w:rPr>
      </w:pPr>
      <w:r w:rsidRPr="00921C79">
        <w:rPr>
          <w:rFonts w:ascii="Book Antiqua" w:eastAsia="Arial" w:hAnsi="Book Antiqua" w:cs="Arial"/>
          <w:sz w:val="22"/>
          <w:szCs w:val="22"/>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011D5F" w:rsidRPr="00921C79" w:rsidRDefault="00967FDC">
      <w:pPr>
        <w:spacing w:before="240"/>
        <w:jc w:val="both"/>
        <w:rPr>
          <w:rFonts w:ascii="Book Antiqua" w:eastAsia="Arial" w:hAnsi="Book Antiqua" w:cs="Arial"/>
          <w:sz w:val="22"/>
          <w:szCs w:val="22"/>
        </w:rPr>
      </w:pPr>
      <w:r w:rsidRPr="00921C79">
        <w:rPr>
          <w:rFonts w:ascii="Book Antiqua" w:eastAsia="Arial" w:hAnsi="Book Antiqua" w:cs="Arial"/>
          <w:sz w:val="22"/>
          <w:szCs w:val="22"/>
        </w:rPr>
        <w:t>“Artículo 1º. El artículo 286 de la Ley 5 de 1992 quedará así: (…)</w:t>
      </w:r>
    </w:p>
    <w:p w:rsidR="00011D5F" w:rsidRPr="00921C79" w:rsidRDefault="00011D5F">
      <w:pPr>
        <w:spacing w:before="240"/>
        <w:ind w:right="912"/>
        <w:jc w:val="both"/>
        <w:rPr>
          <w:rFonts w:ascii="Book Antiqua" w:eastAsia="Arial" w:hAnsi="Book Antiqua" w:cs="Arial"/>
          <w:sz w:val="22"/>
          <w:szCs w:val="22"/>
        </w:rPr>
      </w:pPr>
    </w:p>
    <w:p w:rsidR="00011D5F" w:rsidRPr="00921C79" w:rsidRDefault="00967FDC">
      <w:pPr>
        <w:ind w:left="1080" w:right="912" w:hanging="360"/>
        <w:jc w:val="both"/>
        <w:rPr>
          <w:rFonts w:ascii="Book Antiqua" w:eastAsia="Arial" w:hAnsi="Book Antiqua" w:cs="Arial"/>
          <w:i/>
          <w:sz w:val="22"/>
          <w:szCs w:val="22"/>
        </w:rPr>
      </w:pPr>
      <w:r w:rsidRPr="00921C79">
        <w:rPr>
          <w:rFonts w:ascii="Book Antiqua" w:eastAsia="Arial" w:hAnsi="Book Antiqua" w:cs="Arial"/>
          <w:b/>
          <w:i/>
          <w:sz w:val="22"/>
          <w:szCs w:val="22"/>
        </w:rPr>
        <w:t xml:space="preserve">a) </w:t>
      </w:r>
      <w:r w:rsidRPr="00921C79">
        <w:rPr>
          <w:rFonts w:ascii="Book Antiqua" w:eastAsia="Arial" w:hAnsi="Book Antiqua" w:cs="Arial"/>
          <w:i/>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w:t>
      </w:r>
      <w:r w:rsidR="00187966">
        <w:rPr>
          <w:rFonts w:ascii="Book Antiqua" w:eastAsia="Arial" w:hAnsi="Book Antiqua" w:cs="Arial"/>
          <w:i/>
          <w:sz w:val="22"/>
          <w:szCs w:val="22"/>
        </w:rPr>
        <w:t xml:space="preserve">trativas a las que se encuentre </w:t>
      </w:r>
      <w:r w:rsidRPr="00921C79">
        <w:rPr>
          <w:rFonts w:ascii="Book Antiqua" w:eastAsia="Arial" w:hAnsi="Book Antiqua" w:cs="Arial"/>
          <w:i/>
          <w:sz w:val="22"/>
          <w:szCs w:val="22"/>
        </w:rPr>
        <w:t>formalmente vinculado.</w:t>
      </w:r>
      <w:r w:rsidRPr="00921C79">
        <w:rPr>
          <w:rFonts w:ascii="Book Antiqua" w:eastAsia="Arial" w:hAnsi="Book Antiqua" w:cs="Arial"/>
          <w:sz w:val="22"/>
          <w:szCs w:val="22"/>
        </w:rPr>
        <w:br/>
      </w:r>
    </w:p>
    <w:p w:rsidR="00011D5F" w:rsidRPr="00921C79" w:rsidRDefault="00967FDC">
      <w:pPr>
        <w:ind w:left="1080" w:right="912" w:hanging="360"/>
        <w:jc w:val="both"/>
        <w:rPr>
          <w:rFonts w:ascii="Book Antiqua" w:eastAsia="Arial" w:hAnsi="Book Antiqua" w:cs="Arial"/>
          <w:sz w:val="22"/>
          <w:szCs w:val="22"/>
        </w:rPr>
      </w:pPr>
      <w:r w:rsidRPr="00921C79">
        <w:rPr>
          <w:rFonts w:ascii="Book Antiqua" w:eastAsia="Arial" w:hAnsi="Book Antiqua" w:cs="Arial"/>
          <w:b/>
          <w:i/>
          <w:sz w:val="22"/>
          <w:szCs w:val="22"/>
        </w:rPr>
        <w:t>b)</w:t>
      </w:r>
      <w:r w:rsidRPr="00921C79">
        <w:rPr>
          <w:rFonts w:ascii="Book Antiqua" w:eastAsia="Arial" w:hAnsi="Book Antiqua" w:cs="Arial"/>
          <w:sz w:val="22"/>
          <w:szCs w:val="22"/>
        </w:rPr>
        <w:tab/>
      </w:r>
      <w:r w:rsidRPr="00921C79">
        <w:rPr>
          <w:rFonts w:ascii="Book Antiqua" w:eastAsia="Arial" w:hAnsi="Book Antiqua" w:cs="Arial"/>
          <w:i/>
          <w:sz w:val="22"/>
          <w:szCs w:val="22"/>
        </w:rPr>
        <w:t>Beneficio actual: aquel que efectivamente se configura en las circunstancias presentes y existentes al momento en el que el congresista participa de la decisión.</w:t>
      </w:r>
    </w:p>
    <w:p w:rsidR="00011D5F" w:rsidRPr="00921C79" w:rsidRDefault="00011D5F">
      <w:pPr>
        <w:ind w:left="1080" w:right="912" w:hanging="360"/>
        <w:jc w:val="both"/>
        <w:rPr>
          <w:rFonts w:ascii="Book Antiqua" w:eastAsia="Arial" w:hAnsi="Book Antiqua" w:cs="Arial"/>
          <w:i/>
          <w:sz w:val="22"/>
          <w:szCs w:val="22"/>
        </w:rPr>
      </w:pPr>
    </w:p>
    <w:p w:rsidR="00011D5F" w:rsidRPr="00921C79" w:rsidRDefault="00967FDC">
      <w:pPr>
        <w:ind w:left="1080" w:right="912" w:hanging="360"/>
        <w:jc w:val="both"/>
        <w:rPr>
          <w:rFonts w:ascii="Book Antiqua" w:eastAsia="Arial" w:hAnsi="Book Antiqua" w:cs="Arial"/>
          <w:i/>
          <w:sz w:val="22"/>
          <w:szCs w:val="22"/>
        </w:rPr>
      </w:pPr>
      <w:r w:rsidRPr="00921C79">
        <w:rPr>
          <w:rFonts w:ascii="Book Antiqua" w:eastAsia="Arial" w:hAnsi="Book Antiqua" w:cs="Arial"/>
          <w:b/>
          <w:i/>
          <w:sz w:val="22"/>
          <w:szCs w:val="22"/>
        </w:rPr>
        <w:t>c)</w:t>
      </w:r>
      <w:r w:rsidRPr="00921C79">
        <w:rPr>
          <w:rFonts w:ascii="Book Antiqua" w:eastAsia="Arial" w:hAnsi="Book Antiqua" w:cs="Arial"/>
          <w:sz w:val="22"/>
          <w:szCs w:val="22"/>
        </w:rPr>
        <w:tab/>
      </w:r>
      <w:r w:rsidRPr="00921C79">
        <w:rPr>
          <w:rFonts w:ascii="Book Antiqua" w:eastAsia="Arial" w:hAnsi="Book Antiqua" w:cs="Arial"/>
          <w:i/>
          <w:sz w:val="22"/>
          <w:szCs w:val="22"/>
        </w:rPr>
        <w:t>Beneficio directo: aquel que se produzca de forma específica respecto del congresista, de su cónyuge, compañero o compañera permanente, o parientes dentro del segundo grado de consanguinidad, segundo de afinidad o primero civil.</w:t>
      </w:r>
    </w:p>
    <w:p w:rsidR="00011D5F" w:rsidRPr="00921C79" w:rsidRDefault="00967FDC">
      <w:pPr>
        <w:spacing w:before="240"/>
        <w:ind w:right="912"/>
        <w:jc w:val="both"/>
        <w:rPr>
          <w:rFonts w:ascii="Book Antiqua" w:eastAsia="Arial" w:hAnsi="Book Antiqua" w:cs="Arial"/>
          <w:sz w:val="22"/>
          <w:szCs w:val="22"/>
        </w:rPr>
      </w:pPr>
      <w:r w:rsidRPr="00921C79">
        <w:rPr>
          <w:rFonts w:ascii="Book Antiqua" w:eastAsia="Arial" w:hAnsi="Book Antiqua" w:cs="Arial"/>
          <w:sz w:val="22"/>
          <w:szCs w:val="22"/>
        </w:rPr>
        <w:t>Para todos los efectos se entiende que no hay conflicto de interés en las siguientes circunstancias:</w:t>
      </w:r>
      <w:r w:rsidRPr="00921C79">
        <w:rPr>
          <w:rFonts w:ascii="Book Antiqua" w:eastAsia="Arial" w:hAnsi="Book Antiqua" w:cs="Arial"/>
          <w:sz w:val="22"/>
          <w:szCs w:val="22"/>
        </w:rPr>
        <w:br/>
      </w:r>
    </w:p>
    <w:p w:rsidR="00011D5F" w:rsidRPr="00921C79" w:rsidRDefault="00967FDC">
      <w:pPr>
        <w:ind w:left="720" w:right="912"/>
        <w:jc w:val="both"/>
        <w:rPr>
          <w:rFonts w:ascii="Book Antiqua" w:eastAsia="Arial" w:hAnsi="Book Antiqua" w:cs="Arial"/>
          <w:i/>
          <w:sz w:val="22"/>
          <w:szCs w:val="22"/>
        </w:rPr>
      </w:pPr>
      <w:r w:rsidRPr="00921C79">
        <w:rPr>
          <w:rFonts w:ascii="Book Antiqua" w:eastAsia="Arial" w:hAnsi="Book Antiqua" w:cs="Arial"/>
          <w:i/>
          <w:sz w:val="22"/>
          <w:szCs w:val="22"/>
        </w:rPr>
        <w:t>a. Cuando el congresista participe, discuta, vote un proyecto de ley o de acto legislativo que otorgue beneficios o cargos de carácter general, es decir cuando el interés del congresista coincide o se fusione con los intereses de los electores.</w:t>
      </w:r>
    </w:p>
    <w:p w:rsidR="00011D5F" w:rsidRPr="00921C79" w:rsidRDefault="00011D5F">
      <w:pPr>
        <w:ind w:left="720" w:right="912"/>
        <w:jc w:val="both"/>
        <w:rPr>
          <w:rFonts w:ascii="Book Antiqua" w:eastAsia="Arial" w:hAnsi="Book Antiqua" w:cs="Arial"/>
          <w:i/>
          <w:sz w:val="22"/>
          <w:szCs w:val="22"/>
        </w:rPr>
      </w:pPr>
    </w:p>
    <w:p w:rsidR="00011D5F" w:rsidRPr="00921C79" w:rsidRDefault="00967FDC">
      <w:pPr>
        <w:ind w:left="720" w:right="912"/>
        <w:jc w:val="both"/>
        <w:rPr>
          <w:rFonts w:ascii="Book Antiqua" w:eastAsia="Arial" w:hAnsi="Book Antiqua" w:cs="Arial"/>
          <w:i/>
          <w:sz w:val="22"/>
          <w:szCs w:val="22"/>
        </w:rPr>
      </w:pPr>
      <w:r w:rsidRPr="00921C79">
        <w:rPr>
          <w:rFonts w:ascii="Book Antiqua" w:eastAsia="Arial" w:hAnsi="Book Antiqua" w:cs="Arial"/>
          <w:i/>
          <w:sz w:val="22"/>
          <w:szCs w:val="22"/>
        </w:rPr>
        <w:t>b. Cuando el beneficio podría o no configurarse para el congresista en el futuro.</w:t>
      </w:r>
    </w:p>
    <w:p w:rsidR="00011D5F" w:rsidRPr="00921C79" w:rsidRDefault="00011D5F">
      <w:pPr>
        <w:ind w:left="720" w:right="912"/>
        <w:jc w:val="both"/>
        <w:rPr>
          <w:rFonts w:ascii="Book Antiqua" w:eastAsia="Arial" w:hAnsi="Book Antiqua" w:cs="Arial"/>
          <w:i/>
          <w:sz w:val="22"/>
          <w:szCs w:val="22"/>
        </w:rPr>
      </w:pPr>
    </w:p>
    <w:p w:rsidR="00011D5F" w:rsidRPr="00921C79" w:rsidRDefault="00967FDC">
      <w:pPr>
        <w:ind w:left="720" w:right="912"/>
        <w:jc w:val="both"/>
        <w:rPr>
          <w:rFonts w:ascii="Book Antiqua" w:eastAsia="Arial" w:hAnsi="Book Antiqua" w:cs="Arial"/>
          <w:i/>
          <w:sz w:val="22"/>
          <w:szCs w:val="22"/>
        </w:rPr>
      </w:pPr>
      <w:r w:rsidRPr="00921C79">
        <w:rPr>
          <w:rFonts w:ascii="Book Antiqua" w:eastAsia="Arial" w:hAnsi="Book Antiqua" w:cs="Arial"/>
          <w:i/>
          <w:sz w:val="22"/>
          <w:szCs w:val="22"/>
        </w:rPr>
        <w:t>c. Cuando el congresista participe, discuta o vote artículos de proyectos de ley o acto legislativo de carácter particular, que establezcan sanciones o disminuyan beneficios, en e</w:t>
      </w:r>
      <w:r w:rsidR="00187966">
        <w:rPr>
          <w:rFonts w:ascii="Book Antiqua" w:eastAsia="Arial" w:hAnsi="Book Antiqua" w:cs="Arial"/>
          <w:i/>
          <w:sz w:val="22"/>
          <w:szCs w:val="22"/>
        </w:rPr>
        <w:t xml:space="preserve">l cual, el congresista tiene un </w:t>
      </w:r>
      <w:r w:rsidR="00187966" w:rsidRPr="00921C79">
        <w:rPr>
          <w:rFonts w:ascii="Book Antiqua" w:eastAsia="Arial" w:hAnsi="Book Antiqua" w:cs="Arial"/>
          <w:i/>
          <w:sz w:val="22"/>
          <w:szCs w:val="22"/>
        </w:rPr>
        <w:t>interés</w:t>
      </w:r>
      <w:r w:rsidRPr="00921C79">
        <w:rPr>
          <w:rFonts w:ascii="Book Antiqua" w:eastAsia="Arial" w:hAnsi="Book Antiqua" w:cs="Arial"/>
          <w:i/>
          <w:sz w:val="22"/>
          <w:szCs w:val="22"/>
        </w:rPr>
        <w:t xml:space="preserve"> particular, actual y directo. El voto negativo no constituirá conflicto de interés cuando mantiene la normatividad vigente.</w:t>
      </w:r>
    </w:p>
    <w:p w:rsidR="00011D5F" w:rsidRPr="00921C79" w:rsidRDefault="00011D5F">
      <w:pPr>
        <w:ind w:right="912"/>
        <w:jc w:val="both"/>
        <w:rPr>
          <w:rFonts w:ascii="Book Antiqua" w:eastAsia="Arial" w:hAnsi="Book Antiqua" w:cs="Arial"/>
          <w:i/>
          <w:sz w:val="22"/>
          <w:szCs w:val="22"/>
        </w:rPr>
      </w:pPr>
    </w:p>
    <w:p w:rsidR="00011D5F" w:rsidRPr="00921C79" w:rsidRDefault="00967FDC">
      <w:pPr>
        <w:ind w:left="720" w:right="912"/>
        <w:jc w:val="both"/>
        <w:rPr>
          <w:rFonts w:ascii="Book Antiqua" w:eastAsia="Arial" w:hAnsi="Book Antiqua" w:cs="Arial"/>
          <w:i/>
          <w:sz w:val="22"/>
          <w:szCs w:val="22"/>
        </w:rPr>
      </w:pPr>
      <w:r w:rsidRPr="00921C79">
        <w:rPr>
          <w:rFonts w:ascii="Book Antiqua" w:eastAsia="Arial" w:hAnsi="Book Antiqua" w:cs="Arial"/>
          <w:i/>
          <w:sz w:val="22"/>
          <w:szCs w:val="22"/>
        </w:rPr>
        <w:lastRenderedPageBreak/>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11D5F" w:rsidRPr="00921C79" w:rsidRDefault="00011D5F">
      <w:pPr>
        <w:ind w:left="720" w:right="912"/>
        <w:jc w:val="both"/>
        <w:rPr>
          <w:rFonts w:ascii="Book Antiqua" w:eastAsia="Arial" w:hAnsi="Book Antiqua" w:cs="Arial"/>
          <w:i/>
          <w:sz w:val="22"/>
          <w:szCs w:val="22"/>
        </w:rPr>
      </w:pPr>
    </w:p>
    <w:p w:rsidR="00011D5F" w:rsidRPr="00921C79" w:rsidRDefault="00967FDC">
      <w:pPr>
        <w:ind w:left="720" w:right="912"/>
        <w:jc w:val="both"/>
        <w:rPr>
          <w:rFonts w:ascii="Book Antiqua" w:eastAsia="Arial" w:hAnsi="Book Antiqua" w:cs="Arial"/>
          <w:i/>
          <w:sz w:val="22"/>
          <w:szCs w:val="22"/>
        </w:rPr>
      </w:pPr>
      <w:r w:rsidRPr="00921C79">
        <w:rPr>
          <w:rFonts w:ascii="Book Antiqua" w:eastAsia="Arial" w:hAnsi="Book Antiqua" w:cs="Arial"/>
          <w:i/>
          <w:sz w:val="22"/>
          <w:szCs w:val="22"/>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011D5F" w:rsidRPr="00921C79" w:rsidRDefault="00011D5F">
      <w:pPr>
        <w:ind w:left="720" w:right="912"/>
        <w:jc w:val="both"/>
        <w:rPr>
          <w:rFonts w:ascii="Book Antiqua" w:eastAsia="Arial" w:hAnsi="Book Antiqua" w:cs="Arial"/>
          <w:i/>
          <w:sz w:val="22"/>
          <w:szCs w:val="22"/>
        </w:rPr>
      </w:pPr>
    </w:p>
    <w:p w:rsidR="00011D5F" w:rsidRPr="00921C79" w:rsidRDefault="00967FDC">
      <w:pPr>
        <w:ind w:left="720" w:right="912"/>
        <w:jc w:val="both"/>
        <w:rPr>
          <w:rFonts w:ascii="Book Antiqua" w:eastAsia="Arial" w:hAnsi="Book Antiqua" w:cs="Arial"/>
          <w:i/>
          <w:sz w:val="22"/>
          <w:szCs w:val="22"/>
        </w:rPr>
      </w:pPr>
      <w:r w:rsidRPr="00921C79">
        <w:rPr>
          <w:rFonts w:ascii="Book Antiqua" w:eastAsia="Arial" w:hAnsi="Book Antiqua" w:cs="Arial"/>
          <w:i/>
          <w:sz w:val="22"/>
          <w:szCs w:val="22"/>
        </w:rPr>
        <w:t>f. Cuando el congresista participa en la elección de otros servidores públicos mediante el voto secreto. Se exceptúan los casos en que se presenten inhabilidades referidas al parentesco con los candidatos (...)”.</w:t>
      </w:r>
    </w:p>
    <w:p w:rsidR="00011D5F" w:rsidRPr="00921C79" w:rsidRDefault="00967FDC">
      <w:pPr>
        <w:spacing w:before="240"/>
        <w:jc w:val="both"/>
        <w:rPr>
          <w:rFonts w:ascii="Book Antiqua" w:eastAsia="Arial" w:hAnsi="Book Antiqua" w:cs="Arial"/>
          <w:sz w:val="22"/>
          <w:szCs w:val="22"/>
        </w:rPr>
      </w:pPr>
      <w:r w:rsidRPr="00921C79">
        <w:rPr>
          <w:rFonts w:ascii="Book Antiqua" w:eastAsia="Arial" w:hAnsi="Book Antiqua" w:cs="Arial"/>
          <w:sz w:val="22"/>
          <w:szCs w:val="22"/>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011D5F" w:rsidRPr="00921C79" w:rsidRDefault="00967FDC">
      <w:pPr>
        <w:spacing w:before="240"/>
        <w:jc w:val="both"/>
        <w:rPr>
          <w:rFonts w:ascii="Book Antiqua" w:eastAsia="Arial" w:hAnsi="Book Antiqua" w:cs="Arial"/>
          <w:sz w:val="22"/>
          <w:szCs w:val="22"/>
        </w:rPr>
      </w:pPr>
      <w:r w:rsidRPr="00921C79">
        <w:rPr>
          <w:rFonts w:ascii="Book Antiqua" w:eastAsia="Arial" w:hAnsi="Book Antiqua" w:cs="Arial"/>
          <w:sz w:val="22"/>
          <w:szCs w:val="22"/>
        </w:rPr>
        <w:t>En todo caso, es pertinente aclarar que los conflictos de interés son personales y corresponde a cada Congresista evaluarlos, pudiendo manifestar cuando considere que está inmerso en impedimento.</w:t>
      </w:r>
    </w:p>
    <w:p w:rsidR="00011D5F" w:rsidRPr="00921C79" w:rsidRDefault="00967FDC">
      <w:pPr>
        <w:numPr>
          <w:ilvl w:val="0"/>
          <w:numId w:val="1"/>
        </w:numPr>
        <w:pBdr>
          <w:top w:val="nil"/>
          <w:left w:val="nil"/>
          <w:bottom w:val="nil"/>
          <w:right w:val="nil"/>
          <w:between w:val="nil"/>
        </w:pBdr>
        <w:spacing w:before="240" w:after="240"/>
        <w:rPr>
          <w:rFonts w:ascii="Book Antiqua" w:eastAsia="Arial" w:hAnsi="Book Antiqua" w:cs="Arial"/>
          <w:color w:val="000000"/>
          <w:sz w:val="22"/>
          <w:szCs w:val="22"/>
        </w:rPr>
      </w:pPr>
      <w:bookmarkStart w:id="9" w:name="_heading=h.3j2qqm3" w:colFirst="0" w:colLast="0"/>
      <w:bookmarkEnd w:id="9"/>
      <w:r w:rsidRPr="00921C79">
        <w:rPr>
          <w:rFonts w:ascii="Book Antiqua" w:eastAsia="Arial" w:hAnsi="Book Antiqua" w:cs="Arial"/>
          <w:b/>
          <w:color w:val="000000"/>
          <w:sz w:val="22"/>
          <w:szCs w:val="22"/>
          <w:u w:val="single"/>
        </w:rPr>
        <w:t>PROPOSICIÓN</w:t>
      </w:r>
    </w:p>
    <w:p w:rsidR="00011D5F" w:rsidRPr="00187966" w:rsidRDefault="00967FDC">
      <w:pPr>
        <w:ind w:right="115"/>
        <w:jc w:val="both"/>
        <w:rPr>
          <w:rFonts w:ascii="Book Antiqua" w:eastAsia="Arial" w:hAnsi="Book Antiqua" w:cs="Arial"/>
          <w:sz w:val="22"/>
          <w:szCs w:val="22"/>
        </w:rPr>
      </w:pPr>
      <w:r w:rsidRPr="00921C79">
        <w:rPr>
          <w:rFonts w:ascii="Book Antiqua" w:eastAsia="Arial" w:hAnsi="Book Antiqua" w:cs="Arial"/>
          <w:sz w:val="22"/>
          <w:szCs w:val="22"/>
        </w:rPr>
        <w:t xml:space="preserve">En relación con los puntos anteriormente expuestos y dada la importancia que esta iniciativa legislativa reviste, presentamos ponencia y solicitamos a los honorables miembros de la Comisión Primera de la Cámara de Representantes debatir y aprobar en primer debate el Proyecto de Acto Legislativo No. 394 de 2024C, </w:t>
      </w:r>
      <w:r w:rsidRPr="00921C79">
        <w:rPr>
          <w:rFonts w:ascii="Book Antiqua" w:eastAsia="Arial" w:hAnsi="Book Antiqua" w:cs="Arial"/>
          <w:i/>
          <w:color w:val="000000"/>
          <w:sz w:val="22"/>
          <w:szCs w:val="22"/>
        </w:rPr>
        <w:t>“Por medio del cual se modifica el artículo 107 de la con</w:t>
      </w:r>
      <w:r w:rsidR="00187966">
        <w:rPr>
          <w:rFonts w:ascii="Book Antiqua" w:eastAsia="Arial" w:hAnsi="Book Antiqua" w:cs="Arial"/>
          <w:i/>
          <w:color w:val="000000"/>
          <w:sz w:val="22"/>
          <w:szCs w:val="22"/>
        </w:rPr>
        <w:t xml:space="preserve">stitución política de Colombia”, </w:t>
      </w:r>
      <w:r w:rsidR="00187966" w:rsidRPr="00187966">
        <w:rPr>
          <w:rFonts w:ascii="Book Antiqua" w:eastAsia="Arial" w:hAnsi="Book Antiqua" w:cs="Arial"/>
          <w:color w:val="000000"/>
          <w:sz w:val="22"/>
          <w:szCs w:val="22"/>
        </w:rPr>
        <w:t>conforme al texto propuesto.</w:t>
      </w:r>
    </w:p>
    <w:p w:rsidR="00011D5F" w:rsidRPr="00921C79" w:rsidRDefault="00011D5F">
      <w:pPr>
        <w:jc w:val="both"/>
        <w:rPr>
          <w:rFonts w:ascii="Book Antiqua" w:eastAsia="Arial" w:hAnsi="Book Antiqua" w:cs="Arial"/>
          <w:sz w:val="22"/>
          <w:szCs w:val="22"/>
        </w:rPr>
      </w:pP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 xml:space="preserve">Cordialmente, </w:t>
      </w:r>
    </w:p>
    <w:p w:rsidR="00011D5F" w:rsidRPr="00921C79" w:rsidRDefault="00011D5F">
      <w:pPr>
        <w:jc w:val="both"/>
        <w:rPr>
          <w:rFonts w:ascii="Book Antiqua" w:eastAsia="Arial" w:hAnsi="Book Antiqua" w:cs="Arial"/>
          <w:sz w:val="22"/>
          <w:szCs w:val="22"/>
        </w:rPr>
      </w:pPr>
    </w:p>
    <w:p w:rsidR="00011D5F" w:rsidRDefault="00011D5F">
      <w:pPr>
        <w:jc w:val="both"/>
        <w:rPr>
          <w:rFonts w:ascii="Book Antiqua" w:eastAsia="Arial" w:hAnsi="Book Antiqua" w:cs="Arial"/>
          <w:sz w:val="22"/>
          <w:szCs w:val="22"/>
        </w:rPr>
      </w:pPr>
    </w:p>
    <w:p w:rsidR="00187966" w:rsidRPr="00921C79" w:rsidRDefault="00187966">
      <w:pPr>
        <w:jc w:val="both"/>
        <w:rPr>
          <w:rFonts w:ascii="Book Antiqua" w:eastAsia="Arial" w:hAnsi="Book Antiqua" w:cs="Arial"/>
          <w:sz w:val="22"/>
          <w:szCs w:val="22"/>
        </w:rPr>
      </w:pPr>
    </w:p>
    <w:p w:rsidR="00011D5F" w:rsidRPr="00921C79" w:rsidRDefault="00011D5F">
      <w:pPr>
        <w:jc w:val="both"/>
        <w:rPr>
          <w:rFonts w:ascii="Book Antiqua" w:eastAsia="Arial" w:hAnsi="Book Antiqua" w:cs="Arial"/>
          <w:sz w:val="22"/>
          <w:szCs w:val="22"/>
        </w:rPr>
      </w:pPr>
    </w:p>
    <w:p w:rsidR="00011D5F" w:rsidRPr="00921C79" w:rsidRDefault="00967FDC">
      <w:pPr>
        <w:rPr>
          <w:rFonts w:ascii="Book Antiqua" w:eastAsia="Arial" w:hAnsi="Book Antiqua" w:cs="Arial"/>
          <w:b/>
          <w:sz w:val="22"/>
          <w:szCs w:val="22"/>
        </w:rPr>
      </w:pPr>
      <w:r w:rsidRPr="00921C79">
        <w:rPr>
          <w:rFonts w:ascii="Book Antiqua" w:eastAsia="Arial" w:hAnsi="Book Antiqua" w:cs="Arial"/>
          <w:b/>
          <w:sz w:val="22"/>
          <w:szCs w:val="22"/>
        </w:rPr>
        <w:t>ALVARO LEONEL RUEDA CABALLERO</w:t>
      </w:r>
    </w:p>
    <w:p w:rsidR="00011D5F" w:rsidRPr="00921C79" w:rsidRDefault="00967FDC">
      <w:pPr>
        <w:rPr>
          <w:rFonts w:ascii="Book Antiqua" w:eastAsia="Arial" w:hAnsi="Book Antiqua" w:cs="Arial"/>
          <w:sz w:val="22"/>
          <w:szCs w:val="22"/>
        </w:rPr>
      </w:pPr>
      <w:r w:rsidRPr="00921C79">
        <w:rPr>
          <w:rFonts w:ascii="Book Antiqua" w:eastAsia="Arial" w:hAnsi="Book Antiqua" w:cs="Arial"/>
          <w:sz w:val="22"/>
          <w:szCs w:val="22"/>
        </w:rPr>
        <w:t>Representante a la Cámara</w:t>
      </w: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Ponente</w:t>
      </w:r>
    </w:p>
    <w:p w:rsidR="00011D5F" w:rsidRPr="00921C79" w:rsidRDefault="00011D5F">
      <w:pPr>
        <w:jc w:val="both"/>
        <w:rPr>
          <w:rFonts w:ascii="Book Antiqua" w:eastAsia="Arial" w:hAnsi="Book Antiqua" w:cs="Arial"/>
          <w:sz w:val="22"/>
          <w:szCs w:val="22"/>
        </w:rPr>
      </w:pPr>
    </w:p>
    <w:p w:rsidR="00011D5F" w:rsidRPr="00921C79" w:rsidRDefault="00011D5F">
      <w:pPr>
        <w:jc w:val="both"/>
        <w:rPr>
          <w:rFonts w:ascii="Book Antiqua" w:eastAsia="Arial" w:hAnsi="Book Antiqua" w:cs="Arial"/>
          <w:sz w:val="22"/>
          <w:szCs w:val="22"/>
        </w:rPr>
      </w:pPr>
    </w:p>
    <w:p w:rsidR="00011D5F" w:rsidRPr="00921C79" w:rsidRDefault="00967FDC">
      <w:pPr>
        <w:numPr>
          <w:ilvl w:val="0"/>
          <w:numId w:val="1"/>
        </w:numPr>
        <w:pBdr>
          <w:top w:val="nil"/>
          <w:left w:val="nil"/>
          <w:bottom w:val="nil"/>
          <w:right w:val="nil"/>
          <w:between w:val="nil"/>
        </w:pBdr>
        <w:jc w:val="both"/>
        <w:rPr>
          <w:rFonts w:ascii="Book Antiqua" w:eastAsia="Arial" w:hAnsi="Book Antiqua" w:cs="Arial"/>
          <w:b/>
          <w:color w:val="000000"/>
          <w:sz w:val="22"/>
          <w:szCs w:val="22"/>
        </w:rPr>
      </w:pPr>
      <w:r w:rsidRPr="00921C79">
        <w:rPr>
          <w:rFonts w:ascii="Book Antiqua" w:eastAsia="Arial" w:hAnsi="Book Antiqua" w:cs="Arial"/>
          <w:b/>
          <w:color w:val="000000"/>
          <w:sz w:val="22"/>
          <w:szCs w:val="22"/>
        </w:rPr>
        <w:t>TEXTO PROPUESTO PARA PRIMER DEBATE EN LA COMISIÓN PRIMERA DE LA CÁMARA DE REPRESENTANTES.</w:t>
      </w:r>
    </w:p>
    <w:p w:rsidR="00011D5F" w:rsidRPr="00921C79" w:rsidRDefault="00011D5F">
      <w:pPr>
        <w:jc w:val="center"/>
        <w:rPr>
          <w:rFonts w:ascii="Book Antiqua" w:eastAsia="Arial" w:hAnsi="Book Antiqua" w:cs="Arial"/>
          <w:b/>
          <w:sz w:val="22"/>
          <w:szCs w:val="22"/>
        </w:rPr>
      </w:pPr>
    </w:p>
    <w:p w:rsidR="00011D5F" w:rsidRPr="00921C79" w:rsidRDefault="00011D5F">
      <w:pPr>
        <w:jc w:val="center"/>
        <w:rPr>
          <w:rFonts w:ascii="Book Antiqua" w:eastAsia="Arial" w:hAnsi="Book Antiqua" w:cs="Arial"/>
          <w:sz w:val="22"/>
          <w:szCs w:val="22"/>
        </w:rPr>
      </w:pPr>
    </w:p>
    <w:p w:rsidR="00011D5F" w:rsidRPr="00921C79" w:rsidRDefault="00967FDC">
      <w:pPr>
        <w:jc w:val="center"/>
        <w:rPr>
          <w:rFonts w:ascii="Book Antiqua" w:eastAsia="Arial" w:hAnsi="Book Antiqua" w:cs="Arial"/>
          <w:sz w:val="22"/>
          <w:szCs w:val="22"/>
        </w:rPr>
      </w:pPr>
      <w:r w:rsidRPr="00921C79">
        <w:rPr>
          <w:rFonts w:ascii="Book Antiqua" w:eastAsia="Arial" w:hAnsi="Book Antiqua" w:cs="Arial"/>
          <w:sz w:val="22"/>
          <w:szCs w:val="22"/>
        </w:rPr>
        <w:t>Proyecto de Acto Legislativo No. 394 de 2024</w:t>
      </w:r>
      <w:r w:rsidRPr="00921C79">
        <w:rPr>
          <w:rFonts w:ascii="Book Antiqua" w:eastAsia="Arial" w:hAnsi="Book Antiqua" w:cs="Arial"/>
          <w:b/>
          <w:sz w:val="22"/>
          <w:szCs w:val="22"/>
        </w:rPr>
        <w:t xml:space="preserve"> </w:t>
      </w:r>
      <w:r w:rsidRPr="00921C79">
        <w:rPr>
          <w:rFonts w:ascii="Book Antiqua" w:eastAsia="Arial" w:hAnsi="Book Antiqua" w:cs="Arial"/>
          <w:sz w:val="22"/>
          <w:szCs w:val="22"/>
        </w:rPr>
        <w:t>Cámara</w:t>
      </w:r>
    </w:p>
    <w:p w:rsidR="00011D5F" w:rsidRPr="00921C79" w:rsidRDefault="00011D5F">
      <w:pPr>
        <w:jc w:val="center"/>
        <w:rPr>
          <w:rFonts w:ascii="Book Antiqua" w:eastAsia="Arial" w:hAnsi="Book Antiqua" w:cs="Arial"/>
          <w:sz w:val="22"/>
          <w:szCs w:val="22"/>
        </w:rPr>
      </w:pPr>
    </w:p>
    <w:p w:rsidR="00187966" w:rsidRDefault="00187966">
      <w:pPr>
        <w:jc w:val="center"/>
        <w:rPr>
          <w:rFonts w:ascii="Book Antiqua" w:eastAsia="Arial" w:hAnsi="Book Antiqua" w:cs="Arial"/>
          <w:b/>
          <w:sz w:val="22"/>
          <w:szCs w:val="22"/>
        </w:rPr>
      </w:pPr>
      <w:r w:rsidRPr="00187966">
        <w:rPr>
          <w:rFonts w:ascii="Book Antiqua" w:eastAsia="Arial" w:hAnsi="Book Antiqua" w:cs="Arial"/>
          <w:b/>
          <w:sz w:val="22"/>
          <w:szCs w:val="22"/>
        </w:rPr>
        <w:t>“POR MEDIO DEL CUAL SE ADICIONA UN PARÁGRAFO AL ARTÍCULO 107 DE LA CONSTITUCIÓN POLÍTICA DE COLOMBIA”</w:t>
      </w:r>
    </w:p>
    <w:p w:rsidR="00187966" w:rsidRDefault="00187966">
      <w:pPr>
        <w:jc w:val="center"/>
        <w:rPr>
          <w:rFonts w:ascii="Book Antiqua" w:eastAsia="Arial" w:hAnsi="Book Antiqua" w:cs="Arial"/>
          <w:b/>
          <w:sz w:val="22"/>
          <w:szCs w:val="22"/>
        </w:rPr>
      </w:pPr>
    </w:p>
    <w:p w:rsidR="00011D5F" w:rsidRPr="00921C79" w:rsidRDefault="00967FDC">
      <w:pPr>
        <w:jc w:val="center"/>
        <w:rPr>
          <w:rFonts w:ascii="Book Antiqua" w:eastAsia="Arial" w:hAnsi="Book Antiqua" w:cs="Arial"/>
          <w:b/>
          <w:sz w:val="22"/>
          <w:szCs w:val="22"/>
        </w:rPr>
      </w:pPr>
      <w:r w:rsidRPr="00921C79">
        <w:rPr>
          <w:rFonts w:ascii="Book Antiqua" w:eastAsia="Arial" w:hAnsi="Book Antiqua" w:cs="Arial"/>
          <w:b/>
          <w:sz w:val="22"/>
          <w:szCs w:val="22"/>
        </w:rPr>
        <w:t xml:space="preserve">El Congreso de la República de Colombia </w:t>
      </w:r>
      <w:r w:rsidRPr="00921C79">
        <w:rPr>
          <w:rFonts w:ascii="Book Antiqua" w:eastAsia="Arial" w:hAnsi="Book Antiqua" w:cs="Arial"/>
          <w:b/>
          <w:sz w:val="22"/>
          <w:szCs w:val="22"/>
        </w:rPr>
        <w:br/>
      </w:r>
    </w:p>
    <w:p w:rsidR="00011D5F" w:rsidRPr="00921C79" w:rsidRDefault="00967FDC">
      <w:pPr>
        <w:jc w:val="center"/>
        <w:rPr>
          <w:rFonts w:ascii="Book Antiqua" w:eastAsia="Arial" w:hAnsi="Book Antiqua" w:cs="Arial"/>
          <w:b/>
          <w:sz w:val="22"/>
          <w:szCs w:val="22"/>
        </w:rPr>
      </w:pPr>
      <w:r w:rsidRPr="00921C79">
        <w:rPr>
          <w:rFonts w:ascii="Book Antiqua" w:eastAsia="Arial" w:hAnsi="Book Antiqua" w:cs="Arial"/>
          <w:b/>
          <w:sz w:val="22"/>
          <w:szCs w:val="22"/>
        </w:rPr>
        <w:t xml:space="preserve">DECRETA: </w:t>
      </w:r>
    </w:p>
    <w:p w:rsidR="00011D5F" w:rsidRPr="00921C79" w:rsidRDefault="00011D5F">
      <w:pPr>
        <w:jc w:val="center"/>
        <w:rPr>
          <w:rFonts w:ascii="Book Antiqua" w:eastAsia="Arial" w:hAnsi="Book Antiqua" w:cs="Arial"/>
          <w:b/>
          <w:sz w:val="22"/>
          <w:szCs w:val="22"/>
        </w:rPr>
      </w:pPr>
    </w:p>
    <w:p w:rsidR="00011D5F" w:rsidRPr="00921C79" w:rsidRDefault="00011D5F">
      <w:pPr>
        <w:jc w:val="both"/>
        <w:rPr>
          <w:rFonts w:ascii="Book Antiqua" w:eastAsia="Arial" w:hAnsi="Book Antiqua" w:cs="Arial"/>
          <w:b/>
          <w:sz w:val="22"/>
          <w:szCs w:val="22"/>
        </w:rPr>
      </w:pPr>
    </w:p>
    <w:p w:rsidR="00011D5F" w:rsidRPr="00921C79" w:rsidRDefault="00967FDC">
      <w:pPr>
        <w:pBdr>
          <w:top w:val="nil"/>
          <w:left w:val="nil"/>
          <w:bottom w:val="nil"/>
          <w:right w:val="nil"/>
          <w:between w:val="nil"/>
        </w:pBdr>
        <w:spacing w:after="160"/>
        <w:jc w:val="both"/>
        <w:rPr>
          <w:rFonts w:ascii="Book Antiqua" w:eastAsia="Arial" w:hAnsi="Book Antiqua" w:cs="Arial"/>
          <w:color w:val="000000"/>
          <w:sz w:val="22"/>
          <w:szCs w:val="22"/>
        </w:rPr>
      </w:pPr>
      <w:r w:rsidRPr="00921C79">
        <w:rPr>
          <w:rFonts w:ascii="Book Antiqua" w:eastAsia="Arial" w:hAnsi="Book Antiqua" w:cs="Arial"/>
          <w:b/>
          <w:color w:val="000000"/>
          <w:sz w:val="22"/>
          <w:szCs w:val="22"/>
        </w:rPr>
        <w:t>ARTÍCULO 1.</w:t>
      </w:r>
      <w:r w:rsidRPr="00921C79">
        <w:rPr>
          <w:rFonts w:ascii="Book Antiqua" w:eastAsia="Arial" w:hAnsi="Book Antiqua" w:cs="Arial"/>
          <w:color w:val="000000"/>
          <w:sz w:val="22"/>
          <w:szCs w:val="22"/>
        </w:rPr>
        <w:t xml:space="preserve"> Adiciónese el siguiente parágrafo al Art. 107 de la Constitución Nacional.</w:t>
      </w:r>
    </w:p>
    <w:p w:rsidR="00011D5F" w:rsidRPr="00921C79" w:rsidRDefault="00011D5F">
      <w:pPr>
        <w:jc w:val="both"/>
        <w:rPr>
          <w:rFonts w:ascii="Book Antiqua" w:eastAsia="Arial" w:hAnsi="Book Antiqua" w:cs="Arial"/>
          <w:sz w:val="22"/>
          <w:szCs w:val="22"/>
        </w:rPr>
      </w:pPr>
    </w:p>
    <w:p w:rsidR="00011D5F" w:rsidRPr="00921C79" w:rsidRDefault="00967FDC">
      <w:pPr>
        <w:jc w:val="both"/>
        <w:rPr>
          <w:rFonts w:ascii="Book Antiqua" w:eastAsia="Arial" w:hAnsi="Book Antiqua" w:cs="Arial"/>
          <w:i/>
          <w:color w:val="000000"/>
          <w:sz w:val="22"/>
          <w:szCs w:val="22"/>
        </w:rPr>
      </w:pPr>
      <w:r w:rsidRPr="00921C79">
        <w:rPr>
          <w:rFonts w:ascii="Book Antiqua" w:eastAsia="Arial" w:hAnsi="Book Antiqua" w:cs="Arial"/>
          <w:i/>
          <w:color w:val="000000"/>
          <w:sz w:val="22"/>
          <w:szCs w:val="22"/>
        </w:rPr>
        <w:t xml:space="preserve">PARÁGRAFO TRANSITORIO. </w:t>
      </w:r>
      <w:r w:rsidRPr="00921C79">
        <w:rPr>
          <w:rFonts w:ascii="Book Antiqua" w:eastAsia="Arial" w:hAnsi="Book Antiqua" w:cs="Arial"/>
          <w:sz w:val="22"/>
          <w:szCs w:val="22"/>
        </w:rPr>
        <w:t>Autorícese por una sola vez hasta el 31 de diciembre de 2027 a los miembros de Cuerpos Colegiados de elección popular, a renunciar al partido o movimiento político que los avaló sin tener que renunciar a la curul que ostentan, e inscribirse para aspirar a cualquier cargo de elección popular por otro partido político, movimiento político o grupo significativo de ciudadanos, sin incurrir en doble militancia, inhabilidad o incompatibilidad alguna.</w:t>
      </w:r>
    </w:p>
    <w:p w:rsidR="00011D5F" w:rsidRPr="00921C79" w:rsidRDefault="00011D5F">
      <w:pPr>
        <w:jc w:val="both"/>
        <w:rPr>
          <w:rFonts w:ascii="Book Antiqua" w:eastAsia="Arial" w:hAnsi="Book Antiqua" w:cs="Arial"/>
          <w:b/>
          <w:sz w:val="22"/>
          <w:szCs w:val="22"/>
        </w:rPr>
      </w:pP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b/>
          <w:sz w:val="22"/>
          <w:szCs w:val="22"/>
        </w:rPr>
        <w:t>ARTÍCULO 2. Vigencia.</w:t>
      </w:r>
      <w:r w:rsidRPr="00921C79">
        <w:rPr>
          <w:rFonts w:ascii="Book Antiqua" w:eastAsia="Arial" w:hAnsi="Book Antiqua" w:cs="Arial"/>
          <w:sz w:val="22"/>
          <w:szCs w:val="22"/>
        </w:rPr>
        <w:t xml:space="preserve"> El presente Acto Legislativo rige a partir de su promulgación y deroga todas las disposiciones que le sean contrarias.</w:t>
      </w:r>
    </w:p>
    <w:p w:rsidR="00011D5F" w:rsidRDefault="00011D5F">
      <w:pPr>
        <w:jc w:val="both"/>
        <w:rPr>
          <w:rFonts w:ascii="Book Antiqua" w:eastAsia="Arial" w:hAnsi="Book Antiqua" w:cs="Arial"/>
          <w:color w:val="000000"/>
          <w:sz w:val="22"/>
          <w:szCs w:val="22"/>
        </w:rPr>
      </w:pPr>
    </w:p>
    <w:p w:rsidR="00187966" w:rsidRPr="00921C79" w:rsidRDefault="00187966">
      <w:pPr>
        <w:jc w:val="both"/>
        <w:rPr>
          <w:rFonts w:ascii="Book Antiqua" w:eastAsia="Arial" w:hAnsi="Book Antiqua" w:cs="Arial"/>
          <w:color w:val="000000"/>
          <w:sz w:val="22"/>
          <w:szCs w:val="22"/>
        </w:rPr>
      </w:pP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 xml:space="preserve">Cordialmente, </w:t>
      </w:r>
    </w:p>
    <w:p w:rsidR="00011D5F" w:rsidRPr="00921C79" w:rsidRDefault="00011D5F">
      <w:pPr>
        <w:jc w:val="both"/>
        <w:rPr>
          <w:rFonts w:ascii="Book Antiqua" w:eastAsia="Arial" w:hAnsi="Book Antiqua" w:cs="Arial"/>
          <w:sz w:val="22"/>
          <w:szCs w:val="22"/>
        </w:rPr>
      </w:pPr>
    </w:p>
    <w:p w:rsidR="00011D5F" w:rsidRDefault="00011D5F">
      <w:pPr>
        <w:jc w:val="both"/>
        <w:rPr>
          <w:rFonts w:ascii="Book Antiqua" w:eastAsia="Arial" w:hAnsi="Book Antiqua" w:cs="Arial"/>
          <w:sz w:val="22"/>
          <w:szCs w:val="22"/>
        </w:rPr>
      </w:pPr>
    </w:p>
    <w:p w:rsidR="00187966" w:rsidRDefault="00187966">
      <w:pPr>
        <w:jc w:val="both"/>
        <w:rPr>
          <w:rFonts w:ascii="Book Antiqua" w:eastAsia="Arial" w:hAnsi="Book Antiqua" w:cs="Arial"/>
          <w:sz w:val="22"/>
          <w:szCs w:val="22"/>
        </w:rPr>
      </w:pPr>
    </w:p>
    <w:p w:rsidR="00187966" w:rsidRPr="00921C79" w:rsidRDefault="00187966">
      <w:pPr>
        <w:jc w:val="both"/>
        <w:rPr>
          <w:rFonts w:ascii="Book Antiqua" w:eastAsia="Arial" w:hAnsi="Book Antiqua" w:cs="Arial"/>
          <w:sz w:val="22"/>
          <w:szCs w:val="22"/>
        </w:rPr>
      </w:pPr>
    </w:p>
    <w:p w:rsidR="00011D5F" w:rsidRPr="00921C79" w:rsidRDefault="00011D5F">
      <w:pPr>
        <w:jc w:val="both"/>
        <w:rPr>
          <w:rFonts w:ascii="Book Antiqua" w:eastAsia="Arial" w:hAnsi="Book Antiqua" w:cs="Arial"/>
          <w:sz w:val="22"/>
          <w:szCs w:val="22"/>
        </w:rPr>
      </w:pPr>
    </w:p>
    <w:p w:rsidR="00011D5F" w:rsidRPr="00921C79" w:rsidRDefault="00967FDC">
      <w:pPr>
        <w:rPr>
          <w:rFonts w:ascii="Book Antiqua" w:eastAsia="Arial" w:hAnsi="Book Antiqua" w:cs="Arial"/>
          <w:b/>
          <w:sz w:val="22"/>
          <w:szCs w:val="22"/>
        </w:rPr>
      </w:pPr>
      <w:r w:rsidRPr="00921C79">
        <w:rPr>
          <w:rFonts w:ascii="Book Antiqua" w:eastAsia="Arial" w:hAnsi="Book Antiqua" w:cs="Arial"/>
          <w:b/>
          <w:sz w:val="22"/>
          <w:szCs w:val="22"/>
        </w:rPr>
        <w:t>ALVARO LEONEL RUEDA CABALLERO</w:t>
      </w:r>
    </w:p>
    <w:p w:rsidR="00011D5F" w:rsidRPr="00921C79" w:rsidRDefault="00967FDC">
      <w:pPr>
        <w:rPr>
          <w:rFonts w:ascii="Book Antiqua" w:eastAsia="Arial" w:hAnsi="Book Antiqua" w:cs="Arial"/>
          <w:sz w:val="22"/>
          <w:szCs w:val="22"/>
        </w:rPr>
      </w:pPr>
      <w:r w:rsidRPr="00921C79">
        <w:rPr>
          <w:rFonts w:ascii="Book Antiqua" w:eastAsia="Arial" w:hAnsi="Book Antiqua" w:cs="Arial"/>
          <w:sz w:val="22"/>
          <w:szCs w:val="22"/>
        </w:rPr>
        <w:t>Representante a la Cámara</w:t>
      </w:r>
    </w:p>
    <w:p w:rsidR="00011D5F" w:rsidRPr="00921C79" w:rsidRDefault="00967FDC">
      <w:pPr>
        <w:jc w:val="both"/>
        <w:rPr>
          <w:rFonts w:ascii="Book Antiqua" w:eastAsia="Arial" w:hAnsi="Book Antiqua" w:cs="Arial"/>
          <w:sz w:val="22"/>
          <w:szCs w:val="22"/>
        </w:rPr>
      </w:pPr>
      <w:r w:rsidRPr="00921C79">
        <w:rPr>
          <w:rFonts w:ascii="Book Antiqua" w:eastAsia="Arial" w:hAnsi="Book Antiqua" w:cs="Arial"/>
          <w:sz w:val="22"/>
          <w:szCs w:val="22"/>
        </w:rPr>
        <w:t>Ponente</w:t>
      </w:r>
    </w:p>
    <w:sectPr w:rsidR="00011D5F" w:rsidRPr="00921C79">
      <w:headerReference w:type="default" r:id="rId8"/>
      <w:foot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21" w:rsidRDefault="00374221">
      <w:r>
        <w:separator/>
      </w:r>
    </w:p>
  </w:endnote>
  <w:endnote w:type="continuationSeparator" w:id="0">
    <w:p w:rsidR="00374221" w:rsidRDefault="0037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79" w:rsidRPr="00921C79" w:rsidRDefault="00921C79" w:rsidP="00921C79">
    <w:pPr>
      <w:pStyle w:val="Piedepgina"/>
      <w:jc w:val="center"/>
      <w:rPr>
        <w:color w:val="808080" w:themeColor="background1" w:themeShade="80"/>
      </w:rPr>
    </w:pPr>
    <w:r w:rsidRPr="00921C79">
      <w:rPr>
        <w:color w:val="808080" w:themeColor="background1" w:themeShade="80"/>
      </w:rPr>
      <w:t>Edificio Nuevo del Congreso. Cra 7 No. 8 – 68. Bogotá D.C</w:t>
    </w:r>
  </w:p>
  <w:p w:rsidR="00921C79" w:rsidRPr="00921C79" w:rsidRDefault="00921C79" w:rsidP="00921C79">
    <w:pPr>
      <w:pStyle w:val="Piedepgina"/>
      <w:jc w:val="center"/>
      <w:rPr>
        <w:color w:val="808080" w:themeColor="background1" w:themeShade="80"/>
      </w:rPr>
    </w:pPr>
    <w:r w:rsidRPr="00921C79">
      <w:rPr>
        <w:color w:val="808080" w:themeColor="background1" w:themeShade="80"/>
      </w:rPr>
      <w:t>Oficina No. 3, Mezzaninne Norte</w:t>
    </w:r>
  </w:p>
  <w:p w:rsidR="00921C79" w:rsidRPr="00921C79" w:rsidRDefault="00921C79" w:rsidP="00921C79">
    <w:pPr>
      <w:pStyle w:val="Piedepgina"/>
      <w:jc w:val="center"/>
      <w:rPr>
        <w:color w:val="808080" w:themeColor="background1" w:themeShade="80"/>
      </w:rPr>
    </w:pPr>
    <w:r w:rsidRPr="00921C79">
      <w:rPr>
        <w:color w:val="808080" w:themeColor="background1" w:themeShade="80"/>
      </w:rPr>
      <w:t>Teléfono (57+1) 4325100 – Ext 3481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21" w:rsidRDefault="00374221">
      <w:r>
        <w:separator/>
      </w:r>
    </w:p>
  </w:footnote>
  <w:footnote w:type="continuationSeparator" w:id="0">
    <w:p w:rsidR="00374221" w:rsidRDefault="00374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5F" w:rsidRPr="00921C79" w:rsidRDefault="00921C79">
    <w:pPr>
      <w:rPr>
        <w:color w:val="808080" w:themeColor="background1" w:themeShade="80"/>
      </w:rPr>
    </w:pPr>
    <w:r w:rsidRPr="00921C79">
      <w:rPr>
        <w:noProof/>
        <w:color w:val="808080" w:themeColor="background1" w:themeShade="80"/>
        <w:bdr w:val="none" w:sz="0" w:space="0" w:color="auto" w:frame="1"/>
        <w:lang w:val="es-MX"/>
      </w:rPr>
      <w:drawing>
        <wp:inline distT="0" distB="0" distL="0" distR="0" wp14:anchorId="70EDD060" wp14:editId="6E5FE045">
          <wp:extent cx="2143125" cy="695325"/>
          <wp:effectExtent l="0" t="0" r="9525" b="9525"/>
          <wp:docPr id="1" name="Imagen 1" descr="https://lh7-us.googleusercontent.com/tsDvrGcOP-FwBjwlZedVkxUOYAxPChJuNw9-0yKK5l1121BAg2u3wvX4x7GGt8efaEr51DTKqow48sX7Vu7be60E8s5gQ1sl7UHMy75VVJxux4lOJsIJFWQ4UV3cJTZkoRLMZ4iB-hiUPr046crP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sDvrGcOP-FwBjwlZedVkxUOYAxPChJuNw9-0yKK5l1121BAg2u3wvX4x7GGt8efaEr51DTKqow48sX7Vu7be60E8s5gQ1sl7UHMy75VVJxux4lOJsIJFWQ4UV3cJTZkoRLMZ4iB-hiUPr046crPH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95325"/>
                  </a:xfrm>
                  <a:prstGeom prst="rect">
                    <a:avLst/>
                  </a:prstGeom>
                  <a:noFill/>
                  <a:ln>
                    <a:noFill/>
                  </a:ln>
                </pic:spPr>
              </pic:pic>
            </a:graphicData>
          </a:graphic>
        </wp:inline>
      </w:drawing>
    </w:r>
    <w:r w:rsidRPr="00921C79">
      <w:rPr>
        <w:noProof/>
        <w:color w:val="808080" w:themeColor="background1" w:themeShade="80"/>
        <w:bdr w:val="none" w:sz="0" w:space="0" w:color="auto" w:frame="1"/>
        <w:lang w:val="es-MX"/>
      </w:rPr>
      <w:t xml:space="preserve">                                           </w:t>
    </w:r>
    <w:r w:rsidRPr="00921C79">
      <w:rPr>
        <w:noProof/>
        <w:color w:val="808080" w:themeColor="background1" w:themeShade="80"/>
        <w:bdr w:val="none" w:sz="0" w:space="0" w:color="auto" w:frame="1"/>
        <w:lang w:val="es-MX"/>
      </w:rPr>
      <w:drawing>
        <wp:inline distT="0" distB="0" distL="0" distR="0" wp14:anchorId="6F2B9865" wp14:editId="76825918">
          <wp:extent cx="1790700" cy="885825"/>
          <wp:effectExtent l="0" t="0" r="0" b="9525"/>
          <wp:docPr id="2" name="Imagen 2" descr="https://lh7-us.googleusercontent.com/dzqP0dswTiHO3BBv5JTHUDlz9pQRVbQ2WRLgNaYRtWUJLMVVBSLkPuAwEsFyMutE6PwTArqmctyHI6tXNRjCLLpbLLgaOneeEM-SZMU9esEn5gVRFcIfyU4Gul44HLRrEXy05BVdmx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dzqP0dswTiHO3BBv5JTHUDlz9pQRVbQ2WRLgNaYRtWUJLMVVBSLkPuAwEsFyMutE6PwTArqmctyHI6tXNRjCLLpbLLgaOneeEM-SZMU9esEn5gVRFcIfyU4Gul44HLRrEXy05BVdmx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5101"/>
    <w:multiLevelType w:val="multilevel"/>
    <w:tmpl w:val="925433E2"/>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D50426"/>
    <w:multiLevelType w:val="multilevel"/>
    <w:tmpl w:val="85BE2B3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CA444C"/>
    <w:multiLevelType w:val="multilevel"/>
    <w:tmpl w:val="C83E7FA4"/>
    <w:lvl w:ilvl="0">
      <w:start w:val="4"/>
      <w:numFmt w:val="decimal"/>
      <w:lvlText w:val="%1."/>
      <w:lvlJc w:val="left"/>
      <w:pPr>
        <w:ind w:left="520" w:hanging="5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503A1948"/>
    <w:multiLevelType w:val="multilevel"/>
    <w:tmpl w:val="4330F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AA4628"/>
    <w:multiLevelType w:val="multilevel"/>
    <w:tmpl w:val="429A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1068"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5F"/>
    <w:rsid w:val="00011D5F"/>
    <w:rsid w:val="00187966"/>
    <w:rsid w:val="002E2A85"/>
    <w:rsid w:val="00374221"/>
    <w:rsid w:val="003F5603"/>
    <w:rsid w:val="00912853"/>
    <w:rsid w:val="00921C79"/>
    <w:rsid w:val="00967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D2FB"/>
  <w15:docId w15:val="{478A1781-1507-4A1F-9B7A-EB27711F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10"/>
  </w:style>
  <w:style w:type="paragraph" w:styleId="Ttulo1">
    <w:name w:val="heading 1"/>
    <w:basedOn w:val="Normal"/>
    <w:next w:val="Normal"/>
    <w:uiPriority w:val="9"/>
    <w:qFormat/>
    <w:pPr>
      <w:keepNext/>
      <w:keepLines/>
      <w:spacing w:before="480" w:after="120" w:line="276" w:lineRule="auto"/>
      <w:outlineLvl w:val="0"/>
    </w:pPr>
    <w:rPr>
      <w:rFonts w:ascii="Arial" w:eastAsia="Arial" w:hAnsi="Arial" w:cs="Arial"/>
      <w:b/>
      <w:sz w:val="22"/>
      <w:szCs w:val="22"/>
      <w:lang w:val="es-ES_tradnl"/>
    </w:rPr>
  </w:style>
  <w:style w:type="paragraph" w:styleId="Ttulo2">
    <w:name w:val="heading 2"/>
    <w:basedOn w:val="Normal"/>
    <w:next w:val="Normal"/>
    <w:uiPriority w:val="9"/>
    <w:semiHidden/>
    <w:unhideWhenUsed/>
    <w:qFormat/>
    <w:pPr>
      <w:keepNext/>
      <w:keepLines/>
      <w:spacing w:before="360" w:after="80" w:line="276" w:lineRule="auto"/>
      <w:outlineLvl w:val="1"/>
    </w:pPr>
    <w:rPr>
      <w:rFonts w:ascii="Calibri" w:eastAsia="Calibri" w:hAnsi="Calibri" w:cs="Calibri"/>
      <w:b/>
      <w:sz w:val="36"/>
      <w:szCs w:val="36"/>
      <w:lang w:val="es-ES_tradnl"/>
    </w:rPr>
  </w:style>
  <w:style w:type="paragraph" w:styleId="Ttulo3">
    <w:name w:val="heading 3"/>
    <w:basedOn w:val="Normal"/>
    <w:next w:val="Normal"/>
    <w:uiPriority w:val="9"/>
    <w:semiHidden/>
    <w:unhideWhenUsed/>
    <w:qFormat/>
    <w:pPr>
      <w:keepNext/>
      <w:keepLines/>
      <w:spacing w:before="280" w:after="80" w:line="276" w:lineRule="auto"/>
      <w:outlineLvl w:val="2"/>
    </w:pPr>
    <w:rPr>
      <w:rFonts w:ascii="Calibri" w:eastAsia="Calibri" w:hAnsi="Calibri" w:cs="Calibri"/>
      <w:b/>
      <w:sz w:val="28"/>
      <w:szCs w:val="28"/>
      <w:lang w:val="es-ES_tradnl"/>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76" w:lineRule="auto"/>
    </w:pPr>
    <w:rPr>
      <w:rFonts w:ascii="Calibri" w:eastAsia="Calibri" w:hAnsi="Calibri" w:cs="Calibri"/>
      <w:b/>
      <w:sz w:val="72"/>
      <w:szCs w:val="72"/>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15" w:type="dxa"/>
        <w:bottom w:w="100" w:type="dxa"/>
        <w:right w:w="115" w:type="dxa"/>
      </w:tblCellMar>
    </w:tblPr>
  </w:style>
  <w:style w:type="table" w:customStyle="1" w:styleId="a0">
    <w:basedOn w:val="TableNormal2"/>
    <w:tblPr>
      <w:tblStyleRowBandSize w:val="1"/>
      <w:tblStyleColBandSize w:val="1"/>
      <w:tblCellMar>
        <w:top w:w="100" w:type="dxa"/>
        <w:left w:w="115" w:type="dxa"/>
        <w:bottom w:w="100" w:type="dxa"/>
        <w:right w:w="115" w:type="dxa"/>
      </w:tblCellMar>
    </w:tblPr>
  </w:style>
  <w:style w:type="table" w:customStyle="1" w:styleId="a1">
    <w:basedOn w:val="TableNormal2"/>
    <w:tblPr>
      <w:tblStyleRowBandSize w:val="1"/>
      <w:tblStyleColBandSize w:val="1"/>
      <w:tblCellMar>
        <w:top w:w="100" w:type="dxa"/>
        <w:left w:w="115" w:type="dxa"/>
        <w:bottom w:w="100" w:type="dxa"/>
        <w:right w:w="115" w:type="dxa"/>
      </w:tblCellMar>
    </w:tblPr>
  </w:style>
  <w:style w:type="table" w:customStyle="1" w:styleId="a2">
    <w:basedOn w:val="TableNormal2"/>
    <w:tblPr>
      <w:tblStyleRowBandSize w:val="1"/>
      <w:tblStyleColBandSize w:val="1"/>
      <w:tblCellMar>
        <w:top w:w="100" w:type="dxa"/>
        <w:left w:w="115" w:type="dxa"/>
        <w:bottom w:w="100" w:type="dxa"/>
        <w:right w:w="115" w:type="dxa"/>
      </w:tblCellMar>
    </w:tblPr>
  </w:style>
  <w:style w:type="table" w:customStyle="1" w:styleId="a3">
    <w:basedOn w:val="TableNormal2"/>
    <w:tblPr>
      <w:tblStyleRowBandSize w:val="1"/>
      <w:tblStyleColBandSize w:val="1"/>
      <w:tblCellMar>
        <w:top w:w="100" w:type="dxa"/>
        <w:left w:w="115" w:type="dxa"/>
        <w:bottom w:w="100" w:type="dxa"/>
        <w:right w:w="115" w:type="dxa"/>
      </w:tblCellMar>
    </w:tblPr>
  </w:style>
  <w:style w:type="table" w:customStyle="1" w:styleId="a4">
    <w:basedOn w:val="TableNormal2"/>
    <w:tblPr>
      <w:tblStyleRowBandSize w:val="1"/>
      <w:tblStyleColBandSize w:val="1"/>
      <w:tblCellMar>
        <w:top w:w="100" w:type="dxa"/>
        <w:left w:w="115" w:type="dxa"/>
        <w:bottom w:w="100" w:type="dxa"/>
        <w:right w:w="115" w:type="dxa"/>
      </w:tblCellMar>
    </w:tblPr>
  </w:style>
  <w:style w:type="table" w:customStyle="1" w:styleId="a5">
    <w:basedOn w:val="TableNormal2"/>
    <w:tblPr>
      <w:tblStyleRowBandSize w:val="1"/>
      <w:tblStyleColBandSize w:val="1"/>
      <w:tblCellMar>
        <w:top w:w="100" w:type="dxa"/>
        <w:left w:w="115" w:type="dxa"/>
        <w:bottom w:w="100" w:type="dxa"/>
        <w:right w:w="115" w:type="dxa"/>
      </w:tblCellMar>
    </w:tblPr>
  </w:style>
  <w:style w:type="table" w:customStyle="1" w:styleId="a6">
    <w:basedOn w:val="TableNormal2"/>
    <w:tblPr>
      <w:tblStyleRowBandSize w:val="1"/>
      <w:tblStyleColBandSize w:val="1"/>
      <w:tblCellMar>
        <w:top w:w="100" w:type="dxa"/>
        <w:left w:w="115" w:type="dxa"/>
        <w:bottom w:w="100" w:type="dxa"/>
        <w:right w:w="115"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top w:w="100" w:type="dxa"/>
        <w:left w:w="115" w:type="dxa"/>
        <w:bottom w:w="100" w:type="dxa"/>
        <w:right w:w="115" w:type="dxa"/>
      </w:tblCellMar>
    </w:tblPr>
  </w:style>
  <w:style w:type="table" w:customStyle="1" w:styleId="a9">
    <w:basedOn w:val="TableNormal2"/>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0B3ACD"/>
    <w:pPr>
      <w:ind w:left="720"/>
      <w:contextualSpacing/>
    </w:pPr>
    <w:rPr>
      <w:rFonts w:asciiTheme="minorHAnsi" w:eastAsiaTheme="minorHAnsi" w:hAnsiTheme="minorHAnsi" w:cstheme="minorBidi"/>
      <w:kern w:val="2"/>
      <w:lang w:val="es-ES_tradnl" w:eastAsia="en-US"/>
    </w:rPr>
  </w:style>
  <w:style w:type="character" w:customStyle="1" w:styleId="ui-provider">
    <w:name w:val="ui-provider"/>
    <w:basedOn w:val="Fuentedeprrafopredeter"/>
    <w:rsid w:val="000B3ACD"/>
  </w:style>
  <w:style w:type="paragraph" w:styleId="Textodeglobo">
    <w:name w:val="Balloon Text"/>
    <w:basedOn w:val="Normal"/>
    <w:link w:val="TextodegloboCar"/>
    <w:uiPriority w:val="99"/>
    <w:semiHidden/>
    <w:unhideWhenUsed/>
    <w:rsid w:val="00AD0A03"/>
    <w:pPr>
      <w:jc w:val="both"/>
    </w:pPr>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AD0A03"/>
    <w:rPr>
      <w:rFonts w:ascii="Segoe UI" w:eastAsiaTheme="minorHAnsi" w:hAnsi="Segoe UI" w:cs="Segoe UI"/>
      <w:sz w:val="18"/>
      <w:szCs w:val="18"/>
      <w:lang w:val="es-ES" w:eastAsia="en-US"/>
    </w:rPr>
  </w:style>
  <w:style w:type="paragraph" w:styleId="Textonotapie">
    <w:name w:val="footnote text"/>
    <w:basedOn w:val="Normal"/>
    <w:link w:val="TextonotapieCar"/>
    <w:uiPriority w:val="99"/>
    <w:semiHidden/>
    <w:unhideWhenUsed/>
    <w:rsid w:val="00AD0A03"/>
    <w:pPr>
      <w:jc w:val="both"/>
    </w:pPr>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AD0A03"/>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AD0A03"/>
    <w:rPr>
      <w:vertAlign w:val="superscript"/>
    </w:rPr>
  </w:style>
  <w:style w:type="character" w:styleId="Hipervnculo">
    <w:name w:val="Hyperlink"/>
    <w:basedOn w:val="Fuentedeprrafopredeter"/>
    <w:uiPriority w:val="99"/>
    <w:unhideWhenUsed/>
    <w:rsid w:val="00AD0A03"/>
    <w:rPr>
      <w:color w:val="0000FF" w:themeColor="hyperlink"/>
      <w:u w:val="single"/>
    </w:rPr>
  </w:style>
  <w:style w:type="character" w:customStyle="1" w:styleId="Mencinsinresolver1">
    <w:name w:val="Mención sin resolver1"/>
    <w:basedOn w:val="Fuentedeprrafopredeter"/>
    <w:uiPriority w:val="99"/>
    <w:semiHidden/>
    <w:unhideWhenUsed/>
    <w:rsid w:val="00AD0A03"/>
    <w:rPr>
      <w:color w:val="605E5C"/>
      <w:shd w:val="clear" w:color="auto" w:fill="E1DFDD"/>
    </w:rPr>
  </w:style>
  <w:style w:type="paragraph" w:styleId="Encabezado">
    <w:name w:val="header"/>
    <w:basedOn w:val="Normal"/>
    <w:link w:val="EncabezadoCar"/>
    <w:uiPriority w:val="99"/>
    <w:unhideWhenUsed/>
    <w:rsid w:val="00AD0A03"/>
    <w:pPr>
      <w:tabs>
        <w:tab w:val="center" w:pos="4419"/>
        <w:tab w:val="right" w:pos="8838"/>
      </w:tabs>
      <w:jc w:val="both"/>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D0A03"/>
    <w:rPr>
      <w:rFonts w:asciiTheme="minorHAnsi" w:eastAsiaTheme="minorHAnsi" w:hAnsiTheme="minorHAnsi" w:cstheme="minorBidi"/>
      <w:lang w:val="es-ES" w:eastAsia="en-US"/>
    </w:rPr>
  </w:style>
  <w:style w:type="paragraph" w:styleId="Piedepgina">
    <w:name w:val="footer"/>
    <w:basedOn w:val="Normal"/>
    <w:link w:val="PiedepginaCar"/>
    <w:uiPriority w:val="99"/>
    <w:unhideWhenUsed/>
    <w:rsid w:val="00AD0A03"/>
    <w:pPr>
      <w:tabs>
        <w:tab w:val="center" w:pos="4419"/>
        <w:tab w:val="right" w:pos="8838"/>
      </w:tabs>
      <w:jc w:val="both"/>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D0A03"/>
    <w:rPr>
      <w:rFonts w:asciiTheme="minorHAnsi" w:eastAsiaTheme="minorHAnsi" w:hAnsiTheme="minorHAnsi" w:cstheme="minorBidi"/>
      <w:lang w:val="es-ES" w:eastAsia="en-US"/>
    </w:rPr>
  </w:style>
  <w:style w:type="table" w:customStyle="1" w:styleId="aa">
    <w:basedOn w:val="TableNormal2"/>
    <w:tblPr>
      <w:tblStyleRowBandSize w:val="1"/>
      <w:tblStyleColBandSize w:val="1"/>
      <w:tblCellMar>
        <w:top w:w="100" w:type="dxa"/>
        <w:left w:w="115" w:type="dxa"/>
        <w:bottom w:w="100" w:type="dxa"/>
        <w:right w:w="115" w:type="dxa"/>
      </w:tblCellMar>
    </w:tblPr>
  </w:style>
  <w:style w:type="table" w:customStyle="1" w:styleId="ab">
    <w:basedOn w:val="TableNormal2"/>
    <w:tblPr>
      <w:tblStyleRowBandSize w:val="1"/>
      <w:tblStyleColBandSize w:val="1"/>
      <w:tblCellMar>
        <w:top w:w="100" w:type="dxa"/>
        <w:left w:w="115" w:type="dxa"/>
        <w:bottom w:w="100" w:type="dxa"/>
        <w:right w:w="115" w:type="dxa"/>
      </w:tblCellMar>
    </w:tblPr>
  </w:style>
  <w:style w:type="table" w:customStyle="1" w:styleId="ac">
    <w:basedOn w:val="TableNormal2"/>
    <w:tblPr>
      <w:tblStyleRowBandSize w:val="1"/>
      <w:tblStyleColBandSize w:val="1"/>
      <w:tblCellMar>
        <w:top w:w="100" w:type="dxa"/>
        <w:left w:w="115" w:type="dxa"/>
        <w:bottom w:w="100" w:type="dxa"/>
        <w:right w:w="115" w:type="dxa"/>
      </w:tblCellMar>
    </w:tblPr>
  </w:style>
  <w:style w:type="table" w:customStyle="1" w:styleId="ad">
    <w:basedOn w:val="TableNormal2"/>
    <w:tblPr>
      <w:tblStyleRowBandSize w:val="1"/>
      <w:tblStyleColBandSize w:val="1"/>
      <w:tblCellMar>
        <w:top w:w="100" w:type="dxa"/>
        <w:left w:w="115" w:type="dxa"/>
        <w:bottom w:w="100" w:type="dxa"/>
        <w:right w:w="115" w:type="dxa"/>
      </w:tblCellMar>
    </w:tblPr>
  </w:style>
  <w:style w:type="table" w:customStyle="1" w:styleId="ae">
    <w:basedOn w:val="TableNormal2"/>
    <w:tblPr>
      <w:tblStyleRowBandSize w:val="1"/>
      <w:tblStyleColBandSize w:val="1"/>
      <w:tblCellMar>
        <w:top w:w="100" w:type="dxa"/>
        <w:left w:w="115" w:type="dxa"/>
        <w:bottom w:w="100" w:type="dxa"/>
        <w:right w:w="115" w:type="dxa"/>
      </w:tblCellMar>
    </w:tblPr>
  </w:style>
  <w:style w:type="table" w:customStyle="1" w:styleId="af">
    <w:basedOn w:val="TableNormal2"/>
    <w:tblPr>
      <w:tblStyleRowBandSize w:val="1"/>
      <w:tblStyleColBandSize w:val="1"/>
      <w:tblCellMar>
        <w:top w:w="100" w:type="dxa"/>
        <w:left w:w="115" w:type="dxa"/>
        <w:bottom w:w="100" w:type="dxa"/>
        <w:right w:w="115" w:type="dxa"/>
      </w:tblCellMar>
    </w:tblPr>
  </w:style>
  <w:style w:type="table" w:customStyle="1" w:styleId="af0">
    <w:basedOn w:val="TableNormal2"/>
    <w:tblPr>
      <w:tblStyleRowBandSize w:val="1"/>
      <w:tblStyleColBandSize w:val="1"/>
      <w:tblCellMar>
        <w:top w:w="100" w:type="dxa"/>
        <w:left w:w="115" w:type="dxa"/>
        <w:bottom w:w="100" w:type="dxa"/>
        <w:right w:w="115" w:type="dxa"/>
      </w:tblCellMar>
    </w:tblPr>
  </w:style>
  <w:style w:type="table" w:customStyle="1" w:styleId="af1">
    <w:basedOn w:val="TableNormal2"/>
    <w:tblPr>
      <w:tblStyleRowBandSize w:val="1"/>
      <w:tblStyleColBandSize w:val="1"/>
      <w:tblCellMar>
        <w:top w:w="100" w:type="dxa"/>
        <w:left w:w="115" w:type="dxa"/>
        <w:bottom w:w="100" w:type="dxa"/>
        <w:right w:w="115"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2"/>
    <w:tblPr>
      <w:tblStyleRowBandSize w:val="1"/>
      <w:tblStyleColBandSize w:val="1"/>
      <w:tblCellMar>
        <w:top w:w="100" w:type="dxa"/>
        <w:left w:w="115" w:type="dxa"/>
        <w:bottom w:w="100" w:type="dxa"/>
        <w:right w:w="115" w:type="dxa"/>
      </w:tblCellMar>
    </w:tblPr>
  </w:style>
  <w:style w:type="table" w:customStyle="1" w:styleId="af4">
    <w:basedOn w:val="TableNormal2"/>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after="200"/>
    </w:pPr>
    <w:rPr>
      <w:rFonts w:ascii="Calibri" w:eastAsia="Calibri" w:hAnsi="Calibri" w:cs="Calibri"/>
      <w:sz w:val="20"/>
      <w:szCs w:val="20"/>
      <w:lang w:val="es-ES_tradnl"/>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94222C"/>
  </w:style>
  <w:style w:type="paragraph" w:styleId="Asuntodelcomentario">
    <w:name w:val="annotation subject"/>
    <w:basedOn w:val="Textocomentario"/>
    <w:next w:val="Textocomentario"/>
    <w:link w:val="AsuntodelcomentarioCar"/>
    <w:uiPriority w:val="99"/>
    <w:semiHidden/>
    <w:unhideWhenUsed/>
    <w:rsid w:val="0048051A"/>
    <w:rPr>
      <w:b/>
      <w:bCs/>
    </w:rPr>
  </w:style>
  <w:style w:type="character" w:customStyle="1" w:styleId="AsuntodelcomentarioCar">
    <w:name w:val="Asunto del comentario Car"/>
    <w:basedOn w:val="TextocomentarioCar"/>
    <w:link w:val="Asuntodelcomentario"/>
    <w:uiPriority w:val="99"/>
    <w:semiHidden/>
    <w:rsid w:val="0048051A"/>
    <w:rPr>
      <w:b/>
      <w:bCs/>
      <w:sz w:val="20"/>
      <w:szCs w:val="20"/>
    </w:rPr>
  </w:style>
  <w:style w:type="paragraph" w:customStyle="1" w:styleId="paragraph">
    <w:name w:val="paragraph"/>
    <w:basedOn w:val="Normal"/>
    <w:rsid w:val="00CE77FB"/>
    <w:pPr>
      <w:spacing w:before="100" w:beforeAutospacing="1" w:after="100" w:afterAutospacing="1"/>
    </w:pPr>
  </w:style>
  <w:style w:type="table" w:styleId="Tablaconcuadrcula">
    <w:name w:val="Table Grid"/>
    <w:basedOn w:val="Tablanormal"/>
    <w:uiPriority w:val="39"/>
    <w:rsid w:val="00D516FF"/>
    <w:rPr>
      <w:rFonts w:asciiTheme="minorHAnsi" w:eastAsiaTheme="minorHAnsi" w:hAnsiTheme="minorHAnsi" w:cstheme="minorBid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33110"/>
    <w:pPr>
      <w:spacing w:before="100" w:beforeAutospacing="1" w:after="100" w:afterAutospacing="1"/>
    </w:pPr>
  </w:style>
  <w:style w:type="paragraph" w:styleId="Descripcin">
    <w:name w:val="caption"/>
    <w:basedOn w:val="Normal"/>
    <w:next w:val="Normal"/>
    <w:uiPriority w:val="35"/>
    <w:unhideWhenUsed/>
    <w:qFormat/>
    <w:rsid w:val="001C245C"/>
    <w:pPr>
      <w:spacing w:after="200"/>
    </w:pPr>
    <w:rPr>
      <w:rFonts w:ascii="Calibri" w:eastAsia="Calibri" w:hAnsi="Calibri" w:cs="Calibri"/>
      <w:i/>
      <w:iCs/>
      <w:color w:val="1F497D" w:themeColor="text2"/>
      <w:sz w:val="18"/>
      <w:szCs w:val="18"/>
      <w:lang w:val="es-ES_tradnl"/>
    </w:rPr>
  </w:style>
  <w:style w:type="paragraph" w:styleId="Textoindependiente">
    <w:name w:val="Body Text"/>
    <w:basedOn w:val="Normal"/>
    <w:link w:val="TextoindependienteCar"/>
    <w:uiPriority w:val="1"/>
    <w:qFormat/>
    <w:rsid w:val="00357E5C"/>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357E5C"/>
    <w:rPr>
      <w:lang w:val="es-ES" w:eastAsia="en-US"/>
    </w:rPr>
  </w:style>
  <w:style w:type="table" w:customStyle="1" w:styleId="af5">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1"/>
    <w:rPr>
      <w:rFonts w:ascii="Cambria" w:eastAsia="Cambria" w:hAnsi="Cambria" w:cs="Cambria"/>
    </w:rPr>
    <w:tblPr>
      <w:tblStyleRowBandSize w:val="1"/>
      <w:tblStyleColBandSize w:val="1"/>
      <w:tblCellMar>
        <w:left w:w="108" w:type="dxa"/>
        <w:right w:w="108" w:type="dxa"/>
      </w:tblCellMar>
    </w:tblPr>
  </w:style>
  <w:style w:type="paragraph" w:styleId="NormalWeb">
    <w:name w:val="Normal (Web)"/>
    <w:basedOn w:val="Normal"/>
    <w:uiPriority w:val="99"/>
    <w:unhideWhenUsed/>
    <w:rsid w:val="00BE51A8"/>
    <w:pPr>
      <w:spacing w:before="100" w:beforeAutospacing="1" w:after="100" w:afterAutospacing="1"/>
    </w:pPr>
  </w:style>
  <w:style w:type="table" w:customStyle="1" w:styleId="af9">
    <w:basedOn w:val="TableNormal0"/>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zLhS7xorbH+tnV7itaLU9a9tkA==">CgMxLjAyCWguMzBqMHpsbDIJaC4zZHk2dmttMgloLjI2aW4xcmcyCGgubG54Yno5MghoLmdqZGd4czIJaC4xa3N2NHV2Mg5oLnh5MzB5NzZiNGpicDIOaC5nbHkydmhscDE0a3IyCWguM2oycXFtMzgAciExY2NwWDdwREx6ckFxOHplM1ZNRURSbFgxeVIyaUhraWU=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4573</Words>
  <Characters>25155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Alejandro Moran Cortes</dc:creator>
  <cp:lastModifiedBy>Erika Juliana Sandoval Campos</cp:lastModifiedBy>
  <cp:revision>5</cp:revision>
  <cp:lastPrinted>2024-04-16T22:05:00Z</cp:lastPrinted>
  <dcterms:created xsi:type="dcterms:W3CDTF">2024-03-18T17:46:00Z</dcterms:created>
  <dcterms:modified xsi:type="dcterms:W3CDTF">2024-04-16T22:06:00Z</dcterms:modified>
</cp:coreProperties>
</file>